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Regular" w:hAnsi="Times New Roman Regular" w:eastAsia="黑体" w:cs="Times New Roman Regular"/>
        </w:rPr>
      </w:pPr>
    </w:p>
    <w:p>
      <w:pPr>
        <w:spacing w:line="360" w:lineRule="auto"/>
        <w:ind w:firstLine="880"/>
        <w:rPr>
          <w:rFonts w:ascii="Times New Roman Regular" w:hAnsi="Times New Roman Regular" w:cs="Times New Roman Regular"/>
          <w:sz w:val="44"/>
          <w:szCs w:val="44"/>
        </w:rPr>
      </w:pPr>
    </w:p>
    <w:p>
      <w:pPr>
        <w:spacing w:line="360" w:lineRule="auto"/>
        <w:ind w:firstLine="880"/>
        <w:rPr>
          <w:rFonts w:ascii="Times New Roman Regular" w:hAnsi="Times New Roman Regular" w:cs="Times New Roman Regular"/>
          <w:sz w:val="44"/>
          <w:szCs w:val="44"/>
        </w:rPr>
      </w:pPr>
    </w:p>
    <w:p>
      <w:pPr>
        <w:spacing w:line="360" w:lineRule="auto"/>
        <w:ind w:firstLine="880"/>
        <w:rPr>
          <w:rFonts w:ascii="Times New Roman Regular" w:hAnsi="Times New Roman Regular" w:cs="Times New Roman Regular"/>
          <w:sz w:val="44"/>
          <w:szCs w:val="44"/>
        </w:rPr>
      </w:pPr>
    </w:p>
    <w:p>
      <w:pPr>
        <w:spacing w:line="360" w:lineRule="auto"/>
        <w:ind w:firstLine="880"/>
        <w:rPr>
          <w:rFonts w:ascii="Times New Roman Regular" w:hAnsi="Times New Roman Regular" w:cs="Times New Roman Regular"/>
          <w:sz w:val="44"/>
          <w:szCs w:val="44"/>
        </w:rPr>
      </w:pPr>
    </w:p>
    <w:p>
      <w:pPr>
        <w:adjustRightInd w:val="0"/>
        <w:snapToGrid w:val="0"/>
        <w:spacing w:line="360" w:lineRule="auto"/>
        <w:ind w:firstLine="0" w:firstLineChars="0"/>
        <w:jc w:val="center"/>
        <w:rPr>
          <w:rFonts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2021年度部门整体绩效评价报告</w:t>
      </w:r>
    </w:p>
    <w:p>
      <w:pPr>
        <w:spacing w:line="360" w:lineRule="auto"/>
        <w:rPr>
          <w:rFonts w:ascii="Times New Roman Regular" w:hAnsi="Times New Roman Regular" w:cs="Times New Roman Regular"/>
        </w:rPr>
      </w:pPr>
    </w:p>
    <w:p>
      <w:pPr>
        <w:spacing w:line="360" w:lineRule="auto"/>
        <w:rPr>
          <w:rFonts w:ascii="Times New Roman Regular" w:hAnsi="Times New Roman Regular" w:cs="Times New Roman Regular"/>
        </w:rPr>
      </w:pPr>
    </w:p>
    <w:p>
      <w:pPr>
        <w:spacing w:line="360" w:lineRule="auto"/>
        <w:rPr>
          <w:rFonts w:ascii="Times New Roman Regular" w:hAnsi="Times New Roman Regular" w:cs="Times New Roman Regular"/>
        </w:rPr>
      </w:pPr>
    </w:p>
    <w:p>
      <w:pPr>
        <w:spacing w:line="360" w:lineRule="auto"/>
        <w:rPr>
          <w:rFonts w:ascii="Times New Roman Regular" w:hAnsi="Times New Roman Regular" w:cs="Times New Roman Regular"/>
        </w:rPr>
      </w:pPr>
    </w:p>
    <w:p>
      <w:pPr>
        <w:spacing w:line="360" w:lineRule="auto"/>
        <w:rPr>
          <w:rFonts w:ascii="Times New Roman Regular" w:hAnsi="Times New Roman Regular" w:cs="Times New Roman Regular"/>
        </w:rPr>
      </w:pPr>
    </w:p>
    <w:p>
      <w:pPr>
        <w:spacing w:line="360" w:lineRule="auto"/>
        <w:rPr>
          <w:rFonts w:ascii="Times New Roman Regular" w:hAnsi="Times New Roman Regular" w:cs="Times New Roman Regular"/>
        </w:rPr>
      </w:pPr>
    </w:p>
    <w:p>
      <w:pPr>
        <w:spacing w:line="360" w:lineRule="auto"/>
        <w:rPr>
          <w:rFonts w:ascii="Times New Roman Regular" w:hAnsi="Times New Roman Regular" w:cs="Times New Roman Regular"/>
        </w:rPr>
      </w:pPr>
    </w:p>
    <w:p>
      <w:pPr>
        <w:spacing w:line="360" w:lineRule="auto"/>
        <w:ind w:firstLine="1760" w:firstLineChars="550"/>
        <w:rPr>
          <w:rFonts w:ascii="Times New Roman Regular" w:hAnsi="Times New Roman Regular" w:cs="Times New Roman Regular"/>
        </w:rPr>
      </w:pPr>
      <w:r>
        <w:rPr>
          <w:rFonts w:ascii="Times New Roman Regular" w:hAnsi="Times New Roman Regular" w:cs="Times New Roman Regular"/>
        </w:rPr>
        <w:t>部门名称（公章）:</w:t>
      </w:r>
      <w:r>
        <w:rPr>
          <w:rFonts w:hint="eastAsia" w:ascii="Times New Roman Regular" w:hAnsi="Times New Roman Regular" w:cs="Times New Roman Regular"/>
        </w:rPr>
        <w:t>中共深圳市委党校（本级）</w:t>
      </w:r>
    </w:p>
    <w:p>
      <w:pPr>
        <w:spacing w:line="360" w:lineRule="auto"/>
        <w:ind w:firstLine="1760" w:firstLineChars="550"/>
        <w:rPr>
          <w:rFonts w:ascii="Times New Roman Regular" w:hAnsi="Times New Roman Regular" w:cs="Times New Roman Regular"/>
        </w:rPr>
      </w:pPr>
      <w:r>
        <w:rPr>
          <w:rFonts w:ascii="Times New Roman Regular" w:hAnsi="Times New Roman Regular" w:cs="Times New Roman Regular"/>
        </w:rPr>
        <w:t>填报人：</w:t>
      </w:r>
      <w:r>
        <w:rPr>
          <w:rFonts w:hint="eastAsia" w:ascii="Times New Roman Regular" w:hAnsi="Times New Roman Regular" w:cs="Times New Roman Regular"/>
        </w:rPr>
        <w:t>周晟帆</w:t>
      </w:r>
    </w:p>
    <w:p>
      <w:pPr>
        <w:spacing w:line="360" w:lineRule="auto"/>
        <w:ind w:firstLine="1760" w:firstLineChars="550"/>
        <w:rPr>
          <w:rFonts w:ascii="Times New Roman Regular" w:hAnsi="Times New Roman Regular" w:cs="Times New Roman Regular"/>
        </w:rPr>
      </w:pPr>
      <w:r>
        <w:rPr>
          <w:rFonts w:ascii="Times New Roman Regular" w:hAnsi="Times New Roman Regular" w:cs="Times New Roman Regular"/>
        </w:rPr>
        <w:t>联系电话：</w:t>
      </w:r>
      <w:r>
        <w:rPr>
          <w:rFonts w:hint="eastAsia" w:ascii="Times New Roman Regular" w:hAnsi="Times New Roman Regular" w:cs="Times New Roman Regular"/>
        </w:rPr>
        <w:t>8</w:t>
      </w:r>
      <w:r>
        <w:rPr>
          <w:rFonts w:ascii="Times New Roman Regular" w:hAnsi="Times New Roman Regular" w:cs="Times New Roman Regular"/>
        </w:rPr>
        <w:t>2768885</w:t>
      </w:r>
    </w:p>
    <w:p>
      <w:pPr>
        <w:rPr>
          <w:rFonts w:ascii="Times New Roman Regular" w:hAnsi="Times New Roman Regular" w:cs="Times New Roman Regular"/>
        </w:rPr>
      </w:pPr>
    </w:p>
    <w:p>
      <w:pPr>
        <w:ind w:firstLine="880"/>
        <w:rPr>
          <w:rFonts w:ascii="Times New Roman Regular" w:hAnsi="Times New Roman Regular" w:cs="Times New Roman Regular"/>
          <w:sz w:val="44"/>
          <w:szCs w:val="44"/>
        </w:rPr>
      </w:pPr>
    </w:p>
    <w:p>
      <w:pPr>
        <w:ind w:firstLine="880"/>
        <w:rPr>
          <w:rFonts w:ascii="Times New Roman Regular" w:hAnsi="Times New Roman Regular" w:cs="Times New Roman Regular"/>
          <w:sz w:val="44"/>
          <w:szCs w:val="44"/>
        </w:rPr>
      </w:pPr>
    </w:p>
    <w:p>
      <w:pPr>
        <w:ind w:firstLine="880"/>
        <w:rPr>
          <w:rFonts w:ascii="Times New Roman Regular" w:hAnsi="Times New Roman Regular" w:cs="Times New Roman Regular"/>
          <w:sz w:val="44"/>
          <w:szCs w:val="44"/>
        </w:rPr>
      </w:pPr>
    </w:p>
    <w:p>
      <w:pPr>
        <w:snapToGrid w:val="0"/>
        <w:rPr>
          <w:rFonts w:ascii="Times New Roman Regular" w:hAnsi="Times New Roman Regular" w:eastAsia="黑体" w:cs="Times New Roman Regular"/>
          <w:bCs/>
        </w:rPr>
        <w:sectPr>
          <w:headerReference r:id="rId7" w:type="first"/>
          <w:footerReference r:id="rId10" w:type="first"/>
          <w:headerReference r:id="rId5" w:type="default"/>
          <w:footerReference r:id="rId8" w:type="default"/>
          <w:headerReference r:id="rId6" w:type="even"/>
          <w:footerReference r:id="rId9" w:type="even"/>
          <w:pgSz w:w="11906" w:h="16838"/>
          <w:pgMar w:top="2098" w:right="1417" w:bottom="1417" w:left="1474" w:header="851" w:footer="992" w:gutter="0"/>
          <w:pgNumType w:fmt="numberInDash"/>
          <w:cols w:space="425" w:num="1"/>
          <w:docGrid w:type="lines" w:linePitch="312" w:charSpace="0"/>
        </w:sectPr>
      </w:pPr>
    </w:p>
    <w:p>
      <w:r>
        <w:rPr>
          <w:rFonts w:hint="eastAsia"/>
        </w:rPr>
        <w:t>为实现预算和绩效一体化，着力提升财政资源配置效率和使用效益，根据《中华人民共和国预算法》《中共中央国务院关于全面实施预算绩效管理的意见》（中发〔2018〕34号）《财政部关于印发〈项目支出绩效评价管理办法〉的通知》（财预〔2020〕10号）和</w:t>
      </w:r>
      <w:r>
        <w:rPr>
          <w:rFonts w:hint="eastAsia" w:hAnsi="Adobe 楷体 Std R"/>
        </w:rPr>
        <w:t>《深圳市财政局关于做好市本级2021年预算绩效管理工作的通知》（深财绩〔2021〕1号）</w:t>
      </w:r>
      <w:r>
        <w:rPr>
          <w:rFonts w:hint="eastAsia"/>
        </w:rPr>
        <w:t>等相关规定，中共深圳市委党校本级（以下简称“校本级”）组织绩效评价工作小组，对2021年度部门整体支出实施绩效自评，形成本绩效自评报告。</w:t>
      </w:r>
    </w:p>
    <w:p>
      <w:pPr>
        <w:pStyle w:val="3"/>
        <w:numPr>
          <w:ilvl w:val="0"/>
          <w:numId w:val="0"/>
        </w:numPr>
        <w:ind w:left="640" w:leftChars="200"/>
        <w:jc w:val="both"/>
      </w:pPr>
      <w:r>
        <w:t>一、部门基本情况</w:t>
      </w:r>
    </w:p>
    <w:p>
      <w:pPr>
        <w:pStyle w:val="2"/>
        <w:ind w:firstLine="640"/>
      </w:pPr>
      <w:r>
        <w:t>（一）部门主要职能</w:t>
      </w:r>
    </w:p>
    <w:p>
      <w:pPr>
        <w:adjustRightInd w:val="0"/>
        <w:snapToGrid w:val="0"/>
        <w:spacing w:line="560" w:lineRule="exact"/>
      </w:pPr>
      <w:r>
        <w:rPr>
          <w:rFonts w:hint="eastAsia"/>
        </w:rPr>
        <w:t>校本级</w:t>
      </w:r>
      <w:r>
        <w:rPr>
          <w:rFonts w:hint="eastAsia"/>
          <w:lang w:eastAsia="zh-Hans"/>
        </w:rPr>
        <w:t>下设办公室、机关党委（人事处）、计财室、教务处、科研处、行政处、培训部、教学督导和学员管理办公室、哲学与文史教研部、政治经济学教研部、科学社会主义教研部、习近平新时代中国特色社会主义思想研究中心、党史党建党性教研部、公共管理学教研部、政法教研部、统一战线理论教研部、决策咨询部、图书馆、《特区实践与理论》杂志社、智慧党校技术中心。</w:t>
      </w:r>
      <w:r>
        <w:rPr>
          <w:rFonts w:hint="eastAsia"/>
        </w:rPr>
        <w:t>主要职能如下：</w:t>
      </w:r>
    </w:p>
    <w:p>
      <w:pPr>
        <w:adjustRightInd w:val="0"/>
        <w:snapToGrid w:val="0"/>
        <w:spacing w:line="560" w:lineRule="exact"/>
        <w:ind w:firstLine="643"/>
      </w:pPr>
      <w:r>
        <w:rPr>
          <w:rFonts w:hint="eastAsia"/>
          <w:b/>
          <w:bCs/>
        </w:rPr>
        <w:t>一是</w:t>
      </w:r>
      <w:r>
        <w:rPr>
          <w:rFonts w:hint="eastAsia"/>
        </w:rPr>
        <w:t>负责全市党政领导干部和后备干部、国家公务员、统一战线干部及企业干部的轮训和培训工作，为市委、市政府提供决策咨询服务；</w:t>
      </w:r>
    </w:p>
    <w:p>
      <w:pPr>
        <w:adjustRightInd w:val="0"/>
        <w:snapToGrid w:val="0"/>
        <w:spacing w:line="560" w:lineRule="exact"/>
        <w:ind w:firstLine="643"/>
      </w:pPr>
      <w:r>
        <w:rPr>
          <w:rFonts w:hint="eastAsia"/>
          <w:b/>
          <w:bCs/>
        </w:rPr>
        <w:t>二是</w:t>
      </w:r>
      <w:r>
        <w:rPr>
          <w:rFonts w:hint="eastAsia"/>
        </w:rPr>
        <w:t>承担党校、行政学院、社会主义学院、经济管理学院及中华文化学院系列的科研任务和国家、省市级社科科研项目的研究工作；</w:t>
      </w:r>
    </w:p>
    <w:p>
      <w:pPr>
        <w:adjustRightInd w:val="0"/>
        <w:snapToGrid w:val="0"/>
        <w:spacing w:line="560" w:lineRule="exact"/>
        <w:ind w:firstLine="643"/>
      </w:pPr>
      <w:r>
        <w:rPr>
          <w:rFonts w:hint="eastAsia"/>
          <w:b/>
          <w:bCs/>
        </w:rPr>
        <w:t>三是</w:t>
      </w:r>
      <w:r>
        <w:rPr>
          <w:rFonts w:hint="eastAsia"/>
        </w:rPr>
        <w:t>负责理论刊物《特区实践与理论》杂志的编辑、出版、发行工作；</w:t>
      </w:r>
    </w:p>
    <w:p>
      <w:pPr>
        <w:snapToGrid w:val="0"/>
        <w:ind w:firstLine="643"/>
      </w:pPr>
      <w:r>
        <w:rPr>
          <w:rFonts w:hint="eastAsia"/>
          <w:b/>
          <w:bCs/>
        </w:rPr>
        <w:t>四是</w:t>
      </w:r>
      <w:r>
        <w:rPr>
          <w:rFonts w:hint="eastAsia"/>
        </w:rPr>
        <w:t>承担党政机关、企事业单位、驻深单位部分工作人员的在职学历教育工作。</w:t>
      </w:r>
    </w:p>
    <w:p>
      <w:pPr>
        <w:widowControl/>
        <w:jc w:val="left"/>
      </w:pPr>
      <w:r>
        <w:rPr>
          <w:rFonts w:hint="eastAsia"/>
        </w:rPr>
        <w:t>2021年6月经中共深圳市委机构编制委员会研究并报市委常委会议审议，同意单独设立深圳社会主义学院（深圳中华文化学院），</w:t>
      </w:r>
      <w:r>
        <w:rPr>
          <w:rFonts w:hAnsi="宋体"/>
          <w:color w:val="000000"/>
          <w:kern w:val="0"/>
          <w:sz w:val="31"/>
          <w:szCs w:val="31"/>
          <w:lang w:bidi="ar"/>
        </w:rPr>
        <w:t>由市委统战部指导和管理，市委党校不再加挂深圳社会主义学院（深圳中华文化学</w:t>
      </w:r>
      <w:r>
        <w:rPr>
          <w:rFonts w:hint="eastAsia" w:hAnsi="宋体"/>
          <w:color w:val="000000"/>
          <w:kern w:val="0"/>
          <w:sz w:val="31"/>
          <w:szCs w:val="31"/>
          <w:lang w:bidi="ar"/>
        </w:rPr>
        <w:t>院）牌子，不再承担相关职能。</w:t>
      </w:r>
    </w:p>
    <w:p>
      <w:pPr>
        <w:pStyle w:val="2"/>
        <w:ind w:firstLine="640"/>
      </w:pPr>
      <w:r>
        <w:t>（</w:t>
      </w:r>
      <w:r>
        <w:rPr>
          <w:rFonts w:hint="eastAsia"/>
          <w:lang w:eastAsia="zh-Hans"/>
        </w:rPr>
        <w:t>二</w:t>
      </w:r>
      <w:r>
        <w:t>）年度总体工作和重点工作任务</w:t>
      </w:r>
    </w:p>
    <w:p>
      <w:pPr>
        <w:pStyle w:val="4"/>
        <w:numPr>
          <w:ilvl w:val="0"/>
          <w:numId w:val="0"/>
        </w:numPr>
        <w:ind w:left="640" w:leftChars="200"/>
      </w:pPr>
      <w:r>
        <w:t>1</w:t>
      </w:r>
      <w:r>
        <w:rPr>
          <w:lang w:eastAsia="zh-Hans"/>
        </w:rPr>
        <w:t>.</w:t>
      </w:r>
      <w:r>
        <w:t>年度总体工作</w:t>
      </w:r>
    </w:p>
    <w:p>
      <w:pPr>
        <w:snapToGrid w:val="0"/>
        <w:ind w:firstLine="643"/>
      </w:pPr>
      <w:r>
        <w:rPr>
          <w:rFonts w:hint="eastAsia"/>
          <w:b/>
          <w:bCs/>
        </w:rPr>
        <w:t>一是</w:t>
      </w:r>
      <w:r>
        <w:t>按照市委工作部署，精心组织开展各类教育培训，培养造就忠诚干净担当的高素质专业化干部队伍</w:t>
      </w:r>
      <w:r>
        <w:rPr>
          <w:rFonts w:hint="eastAsia"/>
        </w:rPr>
        <w:t>。</w:t>
      </w:r>
    </w:p>
    <w:p>
      <w:pPr>
        <w:snapToGrid w:val="0"/>
        <w:ind w:firstLine="643"/>
      </w:pPr>
      <w:r>
        <w:rPr>
          <w:rFonts w:hint="eastAsia"/>
          <w:b/>
          <w:bCs/>
        </w:rPr>
        <w:t>二是</w:t>
      </w:r>
      <w:r>
        <w:t>全面推进“4个100”行动，持续深化“四个70%”教学供给侧改革，不断提升党校教学质量水平</w:t>
      </w:r>
      <w:r>
        <w:rPr>
          <w:rFonts w:hint="eastAsia"/>
        </w:rPr>
        <w:t>。</w:t>
      </w:r>
    </w:p>
    <w:p>
      <w:pPr>
        <w:snapToGrid w:val="0"/>
        <w:ind w:firstLine="643"/>
      </w:pPr>
      <w:r>
        <w:rPr>
          <w:rFonts w:hint="eastAsia"/>
          <w:b/>
          <w:bCs/>
        </w:rPr>
        <w:t>三是</w:t>
      </w:r>
      <w:r>
        <w:t>高标准打造深圳市建设中国特色社会主义先行示范区研究中心 ，聚焦“双区”建设、综合授权改革 、双循环新发展格局等开展研究，产出一批有价值、有分量的研究成果，不断提升学术影响力、咨政建议“采用率”</w:t>
      </w:r>
      <w:r>
        <w:rPr>
          <w:rFonts w:hint="eastAsia"/>
        </w:rPr>
        <w:t>。</w:t>
      </w:r>
    </w:p>
    <w:p>
      <w:pPr>
        <w:snapToGrid w:val="0"/>
        <w:ind w:firstLine="643"/>
      </w:pPr>
      <w:r>
        <w:rPr>
          <w:rFonts w:hint="eastAsia"/>
          <w:b/>
          <w:bCs/>
        </w:rPr>
        <w:t>四是</w:t>
      </w:r>
      <w:r>
        <w:t>创新人才引进和培养模式，打造一支政治强、业务精、作风好的高素质教学科研人才队伍</w:t>
      </w:r>
      <w:r>
        <w:rPr>
          <w:rFonts w:hint="eastAsia"/>
        </w:rPr>
        <w:t>。</w:t>
      </w:r>
    </w:p>
    <w:p>
      <w:pPr>
        <w:snapToGrid w:val="0"/>
        <w:ind w:firstLine="643"/>
      </w:pPr>
      <w:r>
        <w:rPr>
          <w:rFonts w:hint="eastAsia"/>
          <w:b/>
          <w:bCs/>
        </w:rPr>
        <w:t>五是</w:t>
      </w:r>
      <w:r>
        <w:t>紧跟时代潮流，与时俱进、精心规划，加快推进党校数字化建设，建设更加智能、便捷、高效的“智慧党校”</w:t>
      </w:r>
      <w:r>
        <w:rPr>
          <w:rFonts w:hint="eastAsia"/>
        </w:rPr>
        <w:t>。</w:t>
      </w:r>
    </w:p>
    <w:p>
      <w:pPr>
        <w:snapToGrid w:val="0"/>
        <w:ind w:firstLine="643"/>
      </w:pPr>
      <w:r>
        <w:rPr>
          <w:rFonts w:hint="eastAsia"/>
          <w:b/>
          <w:bCs/>
        </w:rPr>
        <w:t>六是</w:t>
      </w:r>
      <w:r>
        <w:t>统筹办学资源、强化办学指导，推动市、区、街道党校协同发展，不断提高全市党校系统办学质量和办学水平。</w:t>
      </w:r>
    </w:p>
    <w:p>
      <w:pPr>
        <w:pStyle w:val="4"/>
        <w:numPr>
          <w:ilvl w:val="0"/>
          <w:numId w:val="0"/>
        </w:numPr>
        <w:ind w:left="640" w:leftChars="200"/>
      </w:pPr>
      <w:r>
        <w:t>2</w:t>
      </w:r>
      <w:r>
        <w:rPr>
          <w:lang w:eastAsia="zh-Hans"/>
        </w:rPr>
        <w:t>.</w:t>
      </w:r>
      <w:r>
        <w:t>重点工作任务</w:t>
      </w:r>
    </w:p>
    <w:p>
      <w:pPr>
        <w:rPr>
          <w:highlight w:val="yellow"/>
        </w:rPr>
      </w:pPr>
      <w:r>
        <w:rPr>
          <w:rFonts w:hint="eastAsia"/>
        </w:rPr>
        <w:t>根据2021年度部门职责特点，校本级重点工作如下：</w:t>
      </w:r>
    </w:p>
    <w:p>
      <w:pPr>
        <w:ind w:firstLine="643"/>
      </w:pPr>
      <w:r>
        <w:rPr>
          <w:rFonts w:hint="eastAsia"/>
          <w:b/>
          <w:bCs/>
        </w:rPr>
        <w:t>一是</w:t>
      </w:r>
      <w:r>
        <w:rPr>
          <w:rFonts w:hint="eastAsia"/>
        </w:rPr>
        <w:t>以深入实施“铸魂赋能”工程为总抓手，创新推动干部教育培训质量实现新跃升；</w:t>
      </w:r>
      <w:r>
        <w:rPr>
          <w:rFonts w:hint="eastAsia"/>
          <w:b/>
          <w:bCs/>
        </w:rPr>
        <w:t>二是</w:t>
      </w:r>
      <w:r>
        <w:rPr>
          <w:rFonts w:hint="eastAsia"/>
        </w:rPr>
        <w:t>更加坚定的推动“用学术讲政治”，打造党校特色科研工作新范式；</w:t>
      </w:r>
      <w:r>
        <w:rPr>
          <w:rFonts w:hint="eastAsia"/>
          <w:b/>
          <w:bCs/>
        </w:rPr>
        <w:t>三是</w:t>
      </w:r>
      <w:r>
        <w:rPr>
          <w:rFonts w:hint="eastAsia"/>
        </w:rPr>
        <w:t>以贯彻落实《条例》为契机，全面推动党校自身建设迈上新台阶。</w:t>
      </w:r>
    </w:p>
    <w:p>
      <w:pPr>
        <w:pStyle w:val="2"/>
        <w:ind w:firstLine="640"/>
      </w:pPr>
      <w:r>
        <w:t>（三）2021年部门预算编制情况</w:t>
      </w:r>
    </w:p>
    <w:p>
      <w:pPr>
        <w:pStyle w:val="4"/>
        <w:numPr>
          <w:ilvl w:val="0"/>
          <w:numId w:val="0"/>
        </w:numPr>
        <w:ind w:left="640" w:leftChars="200"/>
        <w:rPr>
          <w:lang w:eastAsia="zh-Hans"/>
        </w:rPr>
      </w:pPr>
      <w:r>
        <w:rPr>
          <w:lang w:eastAsia="zh-Hans"/>
        </w:rPr>
        <w:t>1</w:t>
      </w:r>
      <w:r>
        <w:rPr>
          <w:rFonts w:hint="eastAsia"/>
          <w:lang w:eastAsia="zh-Hans"/>
        </w:rPr>
        <w:t>.</w:t>
      </w:r>
      <w:r>
        <w:rPr>
          <w:lang w:eastAsia="zh-Hans"/>
        </w:rPr>
        <w:t>预算编制合理性</w:t>
      </w:r>
    </w:p>
    <w:p>
      <w:r>
        <w:rPr>
          <w:rFonts w:hint="eastAsia"/>
        </w:rPr>
        <w:t>校本级根据《深圳市人民政府办公厅关于印发2021年市本级预算和2021—2023年中期财政规划编制方案的通知》（深府办函〔2020〕48号）要求，结合中长期发展规划、年度工作计划开展预算编制工作。预算安排突出抓重点、补短板、强弱项，切实减少对竞争性领域的投入，更好地与部门职责和工作计划相匹配；全面落实预算编制、执行、监督各环节主体责任，全面实施预算绩效管理。强化“三公”经费管理，不安排无实质内容的公务活动，严格控制公车购置经费；坚持民主集中制原则和“三重一大”决策制度，重大项目安排、大额资金使用、提交预算草案等重大事项都要通过校委会研究审定。</w:t>
      </w:r>
    </w:p>
    <w:p>
      <w:pPr>
        <w:pStyle w:val="5"/>
      </w:pPr>
      <w:r>
        <w:t>（1）部门整体支出年初预算安排</w:t>
      </w:r>
    </w:p>
    <w:p>
      <w:pPr>
        <w:widowControl/>
      </w:pPr>
      <w:r>
        <w:rPr>
          <w:rFonts w:hint="eastAsia"/>
        </w:rPr>
        <w:t>2021年</w:t>
      </w:r>
      <w:r>
        <w:t>校</w:t>
      </w:r>
      <w:r>
        <w:rPr>
          <w:rFonts w:hint="eastAsia"/>
        </w:rPr>
        <w:t>本级</w:t>
      </w:r>
      <w:r>
        <w:t>部门预算</w:t>
      </w:r>
      <w:r>
        <w:rPr>
          <w:rFonts w:hint="eastAsia"/>
        </w:rPr>
        <w:t>16,457</w:t>
      </w:r>
      <w:r>
        <w:t>万元，</w:t>
      </w:r>
      <w:r>
        <w:rPr>
          <w:rFonts w:hint="eastAsia"/>
        </w:rPr>
        <w:t>包括人员支出5,772万元、公用支出1,757万元、对个人和家庭的补助支出1,080万元、项目支出7,848万元。预算安排如下所示：</w:t>
      </w:r>
    </w:p>
    <w:p>
      <w:pPr>
        <w:widowControl/>
        <w:ind w:firstLine="643"/>
      </w:pPr>
      <w:r>
        <w:rPr>
          <w:rFonts w:hint="eastAsia"/>
          <w:b/>
          <w:bCs/>
        </w:rPr>
        <w:t>一是</w:t>
      </w:r>
      <w:r>
        <w:rPr>
          <w:rFonts w:hint="eastAsia"/>
        </w:rPr>
        <w:t>人员支出5,772万元，主要是在职人员工资福利支出。</w:t>
      </w:r>
    </w:p>
    <w:p>
      <w:pPr>
        <w:widowControl/>
        <w:ind w:firstLine="643"/>
      </w:pPr>
      <w:r>
        <w:rPr>
          <w:rFonts w:hint="eastAsia"/>
          <w:b/>
          <w:bCs/>
        </w:rPr>
        <w:t>二是</w:t>
      </w:r>
      <w:r>
        <w:rPr>
          <w:rFonts w:hint="eastAsia"/>
        </w:rPr>
        <w:t>公用支出1,757万元，主要包括公用综合定额经费、水电费、物业管理费、车辆运行维护费和工会经费等公用经费。</w:t>
      </w:r>
    </w:p>
    <w:p>
      <w:pPr>
        <w:widowControl/>
        <w:ind w:firstLine="643"/>
      </w:pPr>
      <w:r>
        <w:rPr>
          <w:rFonts w:hint="eastAsia"/>
          <w:b/>
          <w:bCs/>
        </w:rPr>
        <w:t>三是</w:t>
      </w:r>
      <w:r>
        <w:rPr>
          <w:rFonts w:hint="eastAsia"/>
        </w:rPr>
        <w:t>对个人和家庭补助支出1,080万元，主要是离退休人员经费。</w:t>
      </w:r>
    </w:p>
    <w:p>
      <w:pPr>
        <w:widowControl/>
        <w:ind w:firstLine="643"/>
      </w:pPr>
      <w:r>
        <w:rPr>
          <w:rFonts w:hint="eastAsia"/>
          <w:b/>
          <w:bCs/>
        </w:rPr>
        <w:t>四是</w:t>
      </w:r>
      <w:r>
        <w:rPr>
          <w:rFonts w:hint="eastAsia"/>
        </w:rPr>
        <w:t>项目支出7,848万元，具体包括：干部培训项目预算3,884万元，理论研究项目500万元，信息化系统运行维护项目130万元，预算准备金项目40万元，其他综合管理项目1,881万元，政府投资项目预算1,413万元。</w:t>
      </w:r>
    </w:p>
    <w:p>
      <w:pPr>
        <w:pStyle w:val="5"/>
        <w:jc w:val="both"/>
      </w:pPr>
      <w:r>
        <w:rPr>
          <w:rFonts w:hint="eastAsia"/>
        </w:rPr>
        <w:t>（2）</w:t>
      </w:r>
      <w:r>
        <w:t>部门整体支出预算调整情况</w:t>
      </w:r>
    </w:p>
    <w:p>
      <w:pPr>
        <w:rPr>
          <w:rFonts w:ascii="Times New Roman Regular" w:hAnsi="Times New Roman Regular" w:cs="Times New Roman Regular"/>
          <w:color w:val="FF0000"/>
        </w:rPr>
      </w:pPr>
      <w:r>
        <w:rPr>
          <w:rFonts w:hint="eastAsia" w:hAnsi="Adobe 楷体 Std R"/>
        </w:rPr>
        <w:t>根据2021年度履职需要，校本级对当年部门预算进行了相应的调整，整体支出预算总规模调整为21,633.2万元。按资金来源，其中：一般公共预算财政拨款收入调整为19,672.62万元，经营收入调整为67万元，其他收入36.7万元，使用非财政拨款结余调整为57.69万元；按资金用途，基本支出预算调整为8,795.0</w:t>
      </w:r>
      <w:r>
        <w:rPr>
          <w:rFonts w:hAnsi="Adobe 楷体 Std R"/>
        </w:rPr>
        <w:t>5</w:t>
      </w:r>
      <w:r>
        <w:rPr>
          <w:rFonts w:hint="eastAsia" w:hAnsi="Adobe 楷体 Std R"/>
        </w:rPr>
        <w:t>万元，项目支出预算调整为12,713.47万元，经营支出预算调整为124.69万元。</w:t>
      </w:r>
    </w:p>
    <w:p>
      <w:pPr>
        <w:pStyle w:val="4"/>
        <w:numPr>
          <w:ilvl w:val="0"/>
          <w:numId w:val="0"/>
        </w:numPr>
        <w:ind w:left="640" w:leftChars="200"/>
        <w:rPr>
          <w:lang w:eastAsia="zh-Hans"/>
        </w:rPr>
      </w:pPr>
      <w:r>
        <w:rPr>
          <w:lang w:eastAsia="zh-Hans"/>
        </w:rPr>
        <w:t>2</w:t>
      </w:r>
      <w:r>
        <w:rPr>
          <w:rFonts w:hint="eastAsia"/>
          <w:lang w:eastAsia="zh-Hans"/>
        </w:rPr>
        <w:t>.</w:t>
      </w:r>
      <w:r>
        <w:rPr>
          <w:lang w:eastAsia="zh-Hans"/>
        </w:rPr>
        <w:t>预算编制规范性</w:t>
      </w:r>
    </w:p>
    <w:p>
      <w:pPr>
        <w:rPr>
          <w:rFonts w:ascii="Times New Roman Regular" w:hAnsi="Times New Roman Regular" w:cs="Times New Roman Regular"/>
          <w:color w:val="FF0000"/>
          <w:lang w:eastAsia="zh-Hans"/>
        </w:rPr>
      </w:pPr>
      <w:r>
        <w:rPr>
          <w:rFonts w:hint="eastAsia"/>
        </w:rPr>
        <w:t>校本级</w:t>
      </w:r>
      <w:r>
        <w:rPr>
          <w:lang w:eastAsia="zh-Hans"/>
        </w:rPr>
        <w:t>按照《中华人民共和国预算法》和</w:t>
      </w:r>
      <w:r>
        <w:rPr>
          <w:rFonts w:hint="eastAsia"/>
        </w:rPr>
        <w:t>《深圳市人民政府办公厅关于印发2021年市本级预算和 2021-2023年中期财政规划编制方案的通知》（深府办函〔2020〕48号）</w:t>
      </w:r>
      <w:r>
        <w:rPr>
          <w:lang w:eastAsia="zh-Hans"/>
        </w:rPr>
        <w:t>的相关要求和规定编制</w:t>
      </w:r>
      <w:r>
        <w:rPr>
          <w:rFonts w:hint="eastAsia"/>
        </w:rPr>
        <w:t>本部门</w:t>
      </w:r>
      <w:r>
        <w:rPr>
          <w:lang w:eastAsia="zh-Hans"/>
        </w:rPr>
        <w:t>预算</w:t>
      </w:r>
      <w:r>
        <w:rPr>
          <w:rFonts w:hint="eastAsia"/>
        </w:rPr>
        <w:t>。</w:t>
      </w:r>
      <w:r>
        <w:rPr>
          <w:lang w:eastAsia="zh-Hans"/>
        </w:rPr>
        <w:t>预算申报和审批程序合规，预算编制整体内容完整，各项经费</w:t>
      </w:r>
      <w:r>
        <w:rPr>
          <w:rFonts w:hint="eastAsia"/>
        </w:rPr>
        <w:t>均有经费支出标准</w:t>
      </w:r>
      <w:r>
        <w:rPr>
          <w:lang w:eastAsia="zh-Hans"/>
        </w:rPr>
        <w:t>、</w:t>
      </w:r>
      <w:r>
        <w:rPr>
          <w:rFonts w:hint="eastAsia"/>
        </w:rPr>
        <w:t>数量依据、具体测算过程及相关</w:t>
      </w:r>
      <w:r>
        <w:rPr>
          <w:lang w:eastAsia="zh-Hans"/>
        </w:rPr>
        <w:t>文件</w:t>
      </w:r>
      <w:r>
        <w:rPr>
          <w:rFonts w:hint="eastAsia"/>
        </w:rPr>
        <w:t>为</w:t>
      </w:r>
      <w:r>
        <w:rPr>
          <w:lang w:eastAsia="zh-Hans"/>
        </w:rPr>
        <w:t>支撑，预算编制依据充足。编制完成的预算草案符合市财政当年度预算编制的原则和要求</w:t>
      </w:r>
      <w:r>
        <w:rPr>
          <w:rFonts w:hint="eastAsia"/>
        </w:rPr>
        <w:t>。</w:t>
      </w:r>
      <w:r>
        <w:rPr>
          <w:rFonts w:hint="eastAsia"/>
          <w:kern w:val="0"/>
        </w:rPr>
        <w:t>专项资金预算编制、项目库管理等均符合市财政要求。预算编制按照“收支两条线”的原则进行统筹规划，全面反映校本级本年度财务收支总貌。收入预算的编制坚持积极稳妥的原则，逐项核实各项收入，尽可能排除收入中的不确定因素。支出预算的编制要坚持统筹兼顾、保证重点的原则。</w:t>
      </w:r>
    </w:p>
    <w:p>
      <w:pPr>
        <w:pStyle w:val="4"/>
        <w:numPr>
          <w:ilvl w:val="0"/>
          <w:numId w:val="0"/>
        </w:numPr>
        <w:ind w:firstLine="643" w:firstLineChars="200"/>
        <w:rPr>
          <w:lang w:eastAsia="zh-Hans"/>
        </w:rPr>
      </w:pPr>
      <w:r>
        <w:rPr>
          <w:lang w:eastAsia="zh-Hans"/>
        </w:rPr>
        <w:t>3</w:t>
      </w:r>
      <w:r>
        <w:rPr>
          <w:rFonts w:hint="eastAsia"/>
          <w:lang w:eastAsia="zh-Hans"/>
        </w:rPr>
        <w:t>.</w:t>
      </w:r>
      <w:r>
        <w:rPr>
          <w:lang w:eastAsia="zh-Hans"/>
        </w:rPr>
        <w:t>绩效目标完整性</w:t>
      </w:r>
    </w:p>
    <w:p>
      <w:r>
        <w:rPr>
          <w:rFonts w:hint="eastAsia"/>
        </w:rPr>
        <w:t>校本级按照财政部门对预算绩效管理工作的要求，所有的项目支出预算均纳入了部门预算绩效管理，包括15个二级预算项目支出绩效目标。所有项目的绩效目标从产出、效益两个方面出发，将绩效目标细化分解为相应的绩效指标，明确每个项目的绩效指标内容、指标值，确保绩效指标能覆盖项目的各项业务工作。</w:t>
      </w:r>
    </w:p>
    <w:p>
      <w:pPr>
        <w:pStyle w:val="4"/>
        <w:numPr>
          <w:ilvl w:val="0"/>
          <w:numId w:val="0"/>
        </w:numPr>
        <w:ind w:firstLine="643" w:firstLineChars="200"/>
        <w:rPr>
          <w:lang w:eastAsia="zh-Hans"/>
        </w:rPr>
      </w:pPr>
      <w:r>
        <w:rPr>
          <w:lang w:eastAsia="zh-Hans"/>
        </w:rPr>
        <w:t>4</w:t>
      </w:r>
      <w:r>
        <w:rPr>
          <w:rFonts w:hint="eastAsia"/>
          <w:lang w:eastAsia="zh-Hans"/>
        </w:rPr>
        <w:t>.</w:t>
      </w:r>
      <w:r>
        <w:rPr>
          <w:lang w:eastAsia="zh-Hans"/>
        </w:rPr>
        <w:t>绩效指标明确性</w:t>
      </w:r>
    </w:p>
    <w:p>
      <w:r>
        <w:rPr>
          <w:rFonts w:hint="eastAsia"/>
        </w:rPr>
        <w:t>校本级在编制整体绩效指标时，根据上年度绩效评价结果及部门年度任务对本年度绩效指标进行优化，从产出、效益方面对部门年度任务进行细分，相关指标目标值符合年度工作要求并有对应的测算依据。</w:t>
      </w:r>
    </w:p>
    <w:p>
      <w:pPr>
        <w:pStyle w:val="2"/>
        <w:ind w:firstLine="640"/>
      </w:pPr>
      <w:r>
        <w:t>（四）2021年部门预算执行情况</w:t>
      </w:r>
    </w:p>
    <w:p>
      <w:pPr>
        <w:pStyle w:val="4"/>
        <w:numPr>
          <w:ilvl w:val="0"/>
          <w:numId w:val="0"/>
        </w:numPr>
        <w:ind w:firstLine="643" w:firstLineChars="200"/>
        <w:rPr>
          <w:lang w:eastAsia="zh-Hans"/>
        </w:rPr>
      </w:pPr>
      <w:r>
        <w:rPr>
          <w:lang w:eastAsia="zh-Hans"/>
        </w:rPr>
        <w:t>1.资金管理情况</w:t>
      </w:r>
    </w:p>
    <w:p>
      <w:pPr>
        <w:pStyle w:val="5"/>
        <w:jc w:val="both"/>
        <w:rPr>
          <w:lang w:eastAsia="zh-Hans"/>
        </w:rPr>
      </w:pPr>
      <w:r>
        <w:rPr>
          <w:lang w:eastAsia="zh-Hans"/>
        </w:rPr>
        <w:t>（1）政府采购执行情况</w:t>
      </w:r>
    </w:p>
    <w:p>
      <w:pPr>
        <w:rPr>
          <w:rFonts w:ascii="Times New Roman Regular" w:hAnsi="Times New Roman Regular" w:cs="Times New Roman Regular"/>
          <w:color w:val="FF0000"/>
          <w:lang w:eastAsia="zh-Hans"/>
        </w:rPr>
      </w:pPr>
      <w:r>
        <w:rPr>
          <w:rFonts w:hint="eastAsia"/>
        </w:rPr>
        <w:t>2021年校本级申报的采购计划金额为2,382.95万元，实际采购金额为2,095.21万元，政府采购执行率为87.93%。按政府经济科目分类，办公经费1,308.37万元，培训费38.84万元，维修（护）费18.54万元，其他商品和服务支出194.10万元，商品和服务支出535.36万元。</w:t>
      </w:r>
    </w:p>
    <w:p>
      <w:pPr>
        <w:pStyle w:val="5"/>
        <w:jc w:val="both"/>
        <w:rPr>
          <w:lang w:eastAsia="zh-Hans"/>
        </w:rPr>
      </w:pPr>
      <w:r>
        <w:rPr>
          <w:rFonts w:hint="eastAsia"/>
        </w:rPr>
        <w:t>（2）</w:t>
      </w:r>
      <w:r>
        <w:rPr>
          <w:lang w:eastAsia="zh-Hans"/>
        </w:rPr>
        <w:t>财务合规</w:t>
      </w:r>
      <w:r>
        <w:rPr>
          <w:rFonts w:hint="eastAsia"/>
          <w:lang w:eastAsia="zh-Hans"/>
        </w:rPr>
        <w:t>性</w:t>
      </w:r>
    </w:p>
    <w:p>
      <w:pPr>
        <w:ind w:firstLine="643"/>
      </w:pPr>
      <w:r>
        <w:rPr>
          <w:rFonts w:hint="eastAsia"/>
          <w:b/>
          <w:bCs/>
          <w:lang w:eastAsia="zh-Hans"/>
        </w:rPr>
        <w:t>一是</w:t>
      </w:r>
      <w:r>
        <w:rPr>
          <w:rFonts w:hint="eastAsia"/>
          <w:lang w:eastAsia="zh-Hans"/>
        </w:rPr>
        <w:t>资金支出规范。</w:t>
      </w:r>
      <w:r>
        <w:rPr>
          <w:rFonts w:hint="eastAsia"/>
          <w:color w:val="000000"/>
        </w:rPr>
        <w:t>校本级预算收支</w:t>
      </w:r>
      <w:r>
        <w:rPr>
          <w:rFonts w:hint="eastAsia"/>
        </w:rPr>
        <w:t>符合国家财经法规和《中共深圳市委党校财务管理制度》《中共深圳市委党校预算管理制度》等相关财务制度规定，实行“统一领导、集中管理、分类核算”的财务管理原则。财务活动在单位负责人的领导下，由计划财务室统一管理</w:t>
      </w:r>
      <w:r>
        <w:rPr>
          <w:rFonts w:hint="eastAsia"/>
          <w:bCs/>
          <w:color w:val="000000"/>
          <w:kern w:val="44"/>
          <w:lang w:bidi="ar"/>
        </w:rPr>
        <w:t>。</w:t>
      </w:r>
    </w:p>
    <w:p>
      <w:pPr>
        <w:ind w:firstLine="643"/>
        <w:rPr>
          <w:bCs/>
          <w:kern w:val="44"/>
          <w:highlight w:val="yellow"/>
          <w:lang w:bidi="ar"/>
        </w:rPr>
      </w:pPr>
      <w:r>
        <w:rPr>
          <w:rFonts w:hint="eastAsia"/>
          <w:b/>
          <w:bCs/>
          <w:color w:val="000000"/>
          <w:kern w:val="44"/>
          <w:lang w:eastAsia="zh-Hans" w:bidi="ar"/>
        </w:rPr>
        <w:t>二</w:t>
      </w:r>
      <w:r>
        <w:rPr>
          <w:rFonts w:hint="eastAsia"/>
          <w:b/>
          <w:bCs/>
          <w:kern w:val="44"/>
          <w:lang w:eastAsia="zh-Hans" w:bidi="ar"/>
        </w:rPr>
        <w:t>是</w:t>
      </w:r>
      <w:r>
        <w:rPr>
          <w:rFonts w:hint="eastAsia"/>
          <w:bCs/>
          <w:kern w:val="44"/>
          <w:lang w:eastAsia="zh-Hans" w:bidi="ar"/>
        </w:rPr>
        <w:t>资金调整</w:t>
      </w:r>
      <w:r>
        <w:rPr>
          <w:rFonts w:hint="eastAsia"/>
          <w:bCs/>
          <w:kern w:val="44"/>
          <w:lang w:bidi="ar"/>
        </w:rPr>
        <w:t>、调剂</w:t>
      </w:r>
      <w:r>
        <w:rPr>
          <w:rFonts w:hint="eastAsia"/>
          <w:bCs/>
          <w:kern w:val="44"/>
          <w:lang w:eastAsia="zh-Hans" w:bidi="ar"/>
        </w:rPr>
        <w:t>规范。</w:t>
      </w:r>
      <w:r>
        <w:rPr>
          <w:rFonts w:hint="eastAsia"/>
          <w:bCs/>
          <w:kern w:val="44"/>
          <w:lang w:bidi="ar"/>
        </w:rPr>
        <w:t>校本级在2021年工作开展中，根据实际履职，对部门整体支出预算进行了相应的调整，</w:t>
      </w:r>
      <w:r>
        <w:rPr>
          <w:rFonts w:hint="eastAsia"/>
          <w:bCs/>
          <w:kern w:val="44"/>
          <w:lang w:eastAsia="zh-Hans" w:bidi="ar"/>
        </w:rPr>
        <w:t>部门整体支出年初预算数为</w:t>
      </w:r>
      <w:r>
        <w:rPr>
          <w:rFonts w:hint="eastAsia"/>
          <w:bCs/>
          <w:kern w:val="44"/>
          <w:lang w:bidi="ar"/>
        </w:rPr>
        <w:t>16,457.31</w:t>
      </w:r>
      <w:r>
        <w:rPr>
          <w:rFonts w:hint="eastAsia"/>
          <w:bCs/>
          <w:kern w:val="44"/>
          <w:lang w:eastAsia="zh-Hans" w:bidi="ar"/>
        </w:rPr>
        <w:t>万元，部门整体支出调整后预算为</w:t>
      </w:r>
      <w:r>
        <w:rPr>
          <w:rFonts w:hint="eastAsia"/>
          <w:bCs/>
          <w:kern w:val="44"/>
          <w:lang w:bidi="ar"/>
        </w:rPr>
        <w:t>21,633.2</w:t>
      </w:r>
      <w:r>
        <w:rPr>
          <w:rFonts w:hint="eastAsia"/>
          <w:bCs/>
          <w:kern w:val="44"/>
          <w:lang w:eastAsia="zh-Hans" w:bidi="ar"/>
        </w:rPr>
        <w:t>万元，</w:t>
      </w:r>
      <w:r>
        <w:rPr>
          <w:rFonts w:hint="eastAsia"/>
          <w:bCs/>
          <w:kern w:val="44"/>
          <w:lang w:bidi="ar"/>
        </w:rPr>
        <w:t>调整资金累计为部门预算总规模的23.93%。主要</w:t>
      </w:r>
      <w:r>
        <w:rPr>
          <w:rFonts w:hint="eastAsia"/>
          <w:bCs/>
          <w:kern w:val="44"/>
          <w:lang w:eastAsia="zh-Hans" w:bidi="ar"/>
        </w:rPr>
        <w:t>调整原因为：</w:t>
      </w:r>
      <w:r>
        <w:rPr>
          <w:rFonts w:hint="eastAsia"/>
          <w:bCs/>
          <w:kern w:val="44"/>
          <w:lang w:bidi="ar"/>
        </w:rPr>
        <w:t>考核管理项目及政府投资项目由财政统一增加预算，合计3,724.51万元；“市委党校相关基础业务用房改扩建及修缮工程”由年初预算818万元调整为1,897.29万元。</w:t>
      </w:r>
    </w:p>
    <w:p>
      <w:pPr>
        <w:ind w:firstLine="643"/>
        <w:rPr>
          <w:lang w:eastAsia="zh-Hans"/>
        </w:rPr>
      </w:pPr>
      <w:r>
        <w:rPr>
          <w:rFonts w:hint="eastAsia"/>
          <w:b/>
          <w:bCs/>
          <w:lang w:eastAsia="zh-Hans"/>
        </w:rPr>
        <w:t>三是</w:t>
      </w:r>
      <w:r>
        <w:rPr>
          <w:rFonts w:hint="eastAsia"/>
          <w:lang w:eastAsia="zh-Hans"/>
        </w:rPr>
        <w:t>会计核算规范。</w:t>
      </w:r>
      <w:r>
        <w:rPr>
          <w:rFonts w:hint="eastAsia"/>
        </w:rPr>
        <w:t>校本级按</w:t>
      </w:r>
      <w:r>
        <w:rPr>
          <w:rFonts w:hint="eastAsia"/>
          <w:lang w:eastAsia="zh-Hans"/>
        </w:rPr>
        <w:t>规范执行会计核算制度，</w:t>
      </w:r>
      <w:r>
        <w:rPr>
          <w:rFonts w:hint="eastAsia"/>
        </w:rPr>
        <w:t>并</w:t>
      </w:r>
      <w:r>
        <w:rPr>
          <w:rFonts w:hint="eastAsia"/>
          <w:lang w:eastAsia="zh-Hans"/>
        </w:rPr>
        <w:t>设专账核算</w:t>
      </w:r>
      <w:r>
        <w:rPr>
          <w:rFonts w:hint="eastAsia"/>
        </w:rPr>
        <w:t>，</w:t>
      </w:r>
      <w:r>
        <w:rPr>
          <w:rFonts w:hint="eastAsia"/>
          <w:lang w:eastAsia="zh-Hans"/>
        </w:rPr>
        <w:t>支出凭证符合规定，不存在支出依据不合规或核算不规范的情况。</w:t>
      </w:r>
    </w:p>
    <w:p>
      <w:pPr>
        <w:pStyle w:val="5"/>
        <w:jc w:val="both"/>
        <w:rPr>
          <w:lang w:eastAsia="zh-Hans"/>
        </w:rPr>
      </w:pPr>
      <w:r>
        <w:rPr>
          <w:rFonts w:hint="eastAsia"/>
        </w:rPr>
        <w:t>（3）</w:t>
      </w:r>
      <w:r>
        <w:rPr>
          <w:lang w:eastAsia="zh-Hans"/>
        </w:rPr>
        <w:t>预决算信息公开情况</w:t>
      </w:r>
    </w:p>
    <w:p>
      <w:pPr>
        <w:rPr>
          <w:rFonts w:ascii="Times New Roman Regular" w:hAnsi="Times New Roman Regular" w:cs="Times New Roman Regular"/>
          <w:color w:val="FF0000"/>
        </w:rPr>
      </w:pPr>
      <w:r>
        <w:rPr>
          <w:rFonts w:hint="eastAsia"/>
          <w:lang w:eastAsia="zh-Hans"/>
        </w:rPr>
        <w:t>按照</w:t>
      </w:r>
      <w:r>
        <w:rPr>
          <w:rFonts w:hint="eastAsia"/>
        </w:rPr>
        <w:t>《中央、国务院关于进一步推进预算公开工作的意见》（中办发〔2016〕13号）《地方预决算公开操作规程》（财预〔2016〕143 号）及《深圳市预算公开工作管理办法》（深财预〔2016〕136 号）相关要求</w:t>
      </w:r>
      <w:r>
        <w:rPr>
          <w:rFonts w:hint="eastAsia"/>
          <w:lang w:eastAsia="zh-Hans"/>
        </w:rPr>
        <w:t>，</w:t>
      </w:r>
      <w:r>
        <w:rPr>
          <w:rFonts w:hint="eastAsia"/>
        </w:rPr>
        <w:t>校本级已按规定内容、时限、范围等各项要求通过官网“市委党校”-“预决算公开”栏向社会公开</w:t>
      </w:r>
      <w:r>
        <w:rPr>
          <w:rFonts w:hint="eastAsia"/>
          <w:lang w:eastAsia="zh-Hans"/>
        </w:rPr>
        <w:t>了</w:t>
      </w:r>
      <w:r>
        <w:rPr>
          <w:rFonts w:hint="eastAsia"/>
        </w:rPr>
        <w:t>“</w:t>
      </w:r>
      <w:r>
        <w:rPr>
          <w:rFonts w:hint="eastAsia"/>
          <w:lang w:eastAsia="zh-Hans"/>
        </w:rPr>
        <w:t>中共深圳市委党校2021年部门预算</w:t>
      </w:r>
      <w:r>
        <w:rPr>
          <w:rFonts w:hint="eastAsia"/>
        </w:rPr>
        <w:t>”及“中共深圳市委党校2020年度部门决算”</w:t>
      </w:r>
      <w:r>
        <w:rPr>
          <w:rFonts w:hint="eastAsia"/>
          <w:lang w:eastAsia="zh-Hans"/>
        </w:rPr>
        <w:t>，公开信息完整且内容清晰，</w:t>
      </w:r>
      <w:r>
        <w:rPr>
          <w:rFonts w:hint="eastAsia"/>
        </w:rPr>
        <w:t>包含了校本级及深圳市建设中国特色社会主义先行示范区研究中心两个二级预算单位的预决算信息，切实履行部门预决算信息公开的责任，</w:t>
      </w:r>
      <w:r>
        <w:rPr>
          <w:rFonts w:hint="eastAsia"/>
          <w:lang w:eastAsia="zh-Hans"/>
        </w:rPr>
        <w:t>有效保障了预决算信息公开的透明度</w:t>
      </w:r>
      <w:r>
        <w:rPr>
          <w:rFonts w:hint="eastAsia"/>
        </w:rPr>
        <w:t>。</w:t>
      </w:r>
    </w:p>
    <w:p>
      <w:pPr>
        <w:pStyle w:val="4"/>
        <w:numPr>
          <w:ilvl w:val="0"/>
          <w:numId w:val="0"/>
        </w:numPr>
        <w:ind w:left="640" w:leftChars="200"/>
        <w:rPr>
          <w:lang w:eastAsia="zh-Hans"/>
        </w:rPr>
      </w:pPr>
      <w:r>
        <w:rPr>
          <w:lang w:eastAsia="zh-Hans"/>
        </w:rPr>
        <w:t>2.项目管理情况</w:t>
      </w:r>
    </w:p>
    <w:p>
      <w:pPr>
        <w:pStyle w:val="5"/>
        <w:jc w:val="both"/>
        <w:rPr>
          <w:lang w:eastAsia="zh-Hans"/>
        </w:rPr>
      </w:pPr>
      <w:r>
        <w:t>（1）</w:t>
      </w:r>
      <w:r>
        <w:rPr>
          <w:lang w:eastAsia="zh-Hans"/>
        </w:rPr>
        <w:t>项目实施情况</w:t>
      </w:r>
    </w:p>
    <w:p>
      <w:pPr>
        <w:rPr>
          <w:rFonts w:ascii="Times New Roman Regular" w:hAnsi="Times New Roman Regular" w:cs="Times New Roman Regular"/>
          <w:color w:val="FF0000"/>
        </w:rPr>
      </w:pPr>
      <w:r>
        <w:rPr>
          <w:rFonts w:hint="eastAsia"/>
        </w:rPr>
        <w:t>校本级所有项目支出实施过程基本规范，所有项目均按照市财政规定的操作流程和校本级的项目管理制度开展工作。一是项目的设立、调整按规定履行报批程序；二是项目招投标、建设、验收以及方案实施均严格执行相关制度规定。项目实施流程规范，有效保障项目的正常开展。</w:t>
      </w:r>
    </w:p>
    <w:p>
      <w:pPr>
        <w:pStyle w:val="5"/>
        <w:jc w:val="both"/>
        <w:rPr>
          <w:lang w:eastAsia="zh-Hans"/>
        </w:rPr>
      </w:pPr>
      <w:r>
        <w:rPr>
          <w:rFonts w:hint="eastAsia"/>
        </w:rPr>
        <w:t>（2）</w:t>
      </w:r>
      <w:r>
        <w:rPr>
          <w:lang w:eastAsia="zh-Hans"/>
        </w:rPr>
        <w:t>项目监管情况</w:t>
      </w:r>
    </w:p>
    <w:p>
      <w:r>
        <w:rPr>
          <w:rFonts w:hint="eastAsia"/>
        </w:rPr>
        <w:t>校本级</w:t>
      </w:r>
      <w:r>
        <w:rPr>
          <w:rFonts w:hint="eastAsia"/>
          <w:lang w:eastAsia="zh-Hans"/>
        </w:rPr>
        <w:t>对项目实施严格管理，</w:t>
      </w:r>
      <w:r>
        <w:rPr>
          <w:rFonts w:hint="eastAsia"/>
        </w:rPr>
        <w:t>根据</w:t>
      </w:r>
      <w:r>
        <w:rPr>
          <w:rFonts w:hint="eastAsia"/>
          <w:lang w:eastAsia="zh-Hans"/>
        </w:rPr>
        <w:t>《深圳市市级单位项目支出管理暂行办法》《中共深圳市委党校财务管理制度》《中共深圳市委党校预算管理制度》</w:t>
      </w:r>
      <w:r>
        <w:rPr>
          <w:rFonts w:hint="eastAsia"/>
        </w:rPr>
        <w:t>等制度规定，落实项目监管机制</w:t>
      </w:r>
      <w:r>
        <w:rPr>
          <w:rFonts w:hint="eastAsia"/>
          <w:lang w:eastAsia="zh-Hans"/>
        </w:rPr>
        <w:t>。</w:t>
      </w:r>
      <w:r>
        <w:rPr>
          <w:rFonts w:hint="eastAsia"/>
        </w:rPr>
        <w:t>校本级每月均对预算执行情况进行分析，同时各部门设预算管理岗，每月前3个工作日内按月编制并提交本部门预算执行计划表及执行情况分析表，及时按要求解决本部门预算执行中存在的问题，保证</w:t>
      </w:r>
      <w:r>
        <w:rPr>
          <w:rFonts w:hint="eastAsia"/>
          <w:lang w:eastAsia="zh-Hans"/>
        </w:rPr>
        <w:t>所有项目按照确定的工作计划及时开展</w:t>
      </w:r>
      <w:r>
        <w:rPr>
          <w:rFonts w:hint="eastAsia"/>
        </w:rPr>
        <w:t>。</w:t>
      </w:r>
    </w:p>
    <w:p>
      <w:pPr>
        <w:pStyle w:val="4"/>
        <w:numPr>
          <w:ilvl w:val="0"/>
          <w:numId w:val="0"/>
        </w:numPr>
        <w:ind w:left="640" w:leftChars="200"/>
        <w:rPr>
          <w:lang w:eastAsia="zh-Hans"/>
        </w:rPr>
      </w:pPr>
      <w:r>
        <w:rPr>
          <w:lang w:eastAsia="zh-Hans"/>
        </w:rPr>
        <w:t>3.资产管理情况</w:t>
      </w:r>
    </w:p>
    <w:p>
      <w:pPr>
        <w:pStyle w:val="5"/>
        <w:jc w:val="both"/>
        <w:rPr>
          <w:lang w:eastAsia="zh-Hans"/>
        </w:rPr>
      </w:pPr>
      <w:r>
        <w:rPr>
          <w:lang w:eastAsia="zh-Hans"/>
        </w:rPr>
        <w:t>（1）资产管理安全性</w:t>
      </w:r>
    </w:p>
    <w:p>
      <w:r>
        <w:rPr>
          <w:rFonts w:hint="eastAsia"/>
        </w:rPr>
        <w:t>校本级固定资产管理遵循“统一制度、归口管理、分级负责、责任到人、物尽其用”的原则。建立健全规章制度，做到财物相符，推动固定资产的合理配置，提高其使用效益，确保固定资产安全完整。其中：校委会为资产决策机构；</w:t>
      </w:r>
      <w:r>
        <w:rPr>
          <w:rFonts w:hint="eastAsia" w:hAnsi="方正仿宋_GBK" w:cs="方正仿宋_GBK"/>
        </w:rPr>
        <w:t>行政处是固定资产的管理部门，负责对学校的固定资产实施综合管理；图书馆负责学校图书类固定资产的管理工作；</w:t>
      </w:r>
      <w:r>
        <w:rPr>
          <w:rFonts w:hint="eastAsia"/>
        </w:rPr>
        <w:t>计划财务室负责管理资产会计账，并定期与资产管理台账进行对账，在定期组织的资产清查盘点工作中进行监盘；智慧党校技术中心负责对信息化相关的固定资产的配置、领用、维修、处置等申请进行专业性审核。</w:t>
      </w:r>
    </w:p>
    <w:p>
      <w:pPr>
        <w:rPr>
          <w:rFonts w:ascii="Times New Roman Regular" w:hAnsi="Times New Roman Regular" w:cs="Times New Roman Regular"/>
          <w:color w:val="FF0000"/>
          <w:lang w:eastAsia="zh-Hans"/>
        </w:rPr>
      </w:pPr>
      <w:r>
        <w:rPr>
          <w:rFonts w:hint="eastAsia"/>
        </w:rPr>
        <w:t>截至2021年12月31日，校本级资产合计为40,121.68万元，其中：流动资产2,252.24万元，非流动资产37,869.44万元。负债合计377.61万元，其中流动负债377.61万元，非流动负债0万元。净资产合计39,744.07万元。</w:t>
      </w:r>
    </w:p>
    <w:p>
      <w:pPr>
        <w:pStyle w:val="5"/>
        <w:jc w:val="both"/>
        <w:rPr>
          <w:lang w:eastAsia="zh-Hans"/>
        </w:rPr>
      </w:pPr>
      <w:r>
        <w:rPr>
          <w:rFonts w:hint="eastAsia"/>
        </w:rPr>
        <w:t>（2）</w:t>
      </w:r>
      <w:r>
        <w:rPr>
          <w:lang w:eastAsia="zh-Hans"/>
        </w:rPr>
        <w:t>固定资产利用情况</w:t>
      </w:r>
    </w:p>
    <w:p>
      <w:r>
        <w:rPr>
          <w:rFonts w:hint="eastAsia"/>
        </w:rPr>
        <w:t>2021年校本级固定资产账面原值合计54,280.32万元，年末实际在用资产原值54,149.32万元，固定资产利用率达到99.76%。</w:t>
      </w:r>
    </w:p>
    <w:p>
      <w:pPr>
        <w:pStyle w:val="4"/>
        <w:numPr>
          <w:ilvl w:val="0"/>
          <w:numId w:val="0"/>
        </w:numPr>
        <w:ind w:left="640" w:leftChars="200"/>
        <w:rPr>
          <w:lang w:eastAsia="zh-Hans"/>
        </w:rPr>
      </w:pPr>
      <w:r>
        <w:rPr>
          <w:lang w:eastAsia="zh-Hans"/>
        </w:rPr>
        <w:t>4.人员管理情况</w:t>
      </w:r>
    </w:p>
    <w:p>
      <w:pPr>
        <w:pStyle w:val="5"/>
        <w:jc w:val="both"/>
        <w:rPr>
          <w:lang w:eastAsia="zh-Hans"/>
        </w:rPr>
      </w:pPr>
      <w:r>
        <w:rPr>
          <w:lang w:eastAsia="zh-Hans"/>
        </w:rPr>
        <w:t>（1）财政供养人员控制情况</w:t>
      </w:r>
    </w:p>
    <w:p>
      <w:pPr>
        <w:snapToGrid w:val="0"/>
        <w:rPr>
          <w:rFonts w:ascii="Times New Roman Regular" w:hAnsi="Times New Roman Regular" w:cs="Times New Roman Regular"/>
          <w:color w:val="FF0000"/>
          <w:lang w:eastAsia="zh-Hans"/>
        </w:rPr>
      </w:pPr>
      <w:r>
        <w:rPr>
          <w:rFonts w:hint="eastAsia"/>
          <w:bCs/>
        </w:rPr>
        <w:t>截止2021年12月31日，校本级核定编制数为140人</w:t>
      </w:r>
      <w:r>
        <w:rPr>
          <w:rFonts w:hint="eastAsia"/>
        </w:rPr>
        <w:t>（含工勤人员）</w:t>
      </w:r>
      <w:r>
        <w:rPr>
          <w:rFonts w:hint="eastAsia"/>
          <w:bCs/>
        </w:rPr>
        <w:t>，</w:t>
      </w:r>
      <w:r>
        <w:rPr>
          <w:rFonts w:hint="eastAsia"/>
        </w:rPr>
        <w:t>实有在编人数125人（含工勤人员）</w:t>
      </w:r>
      <w:r>
        <w:rPr>
          <w:rFonts w:hint="eastAsia"/>
          <w:bCs/>
        </w:rPr>
        <w:t>。财政供养人员控制率为89.29%。</w:t>
      </w:r>
    </w:p>
    <w:p>
      <w:pPr>
        <w:pStyle w:val="5"/>
        <w:jc w:val="both"/>
        <w:rPr>
          <w:lang w:eastAsia="zh-Hans"/>
        </w:rPr>
      </w:pPr>
      <w:r>
        <w:rPr>
          <w:rFonts w:hint="eastAsia"/>
        </w:rPr>
        <w:t>（2）</w:t>
      </w:r>
      <w:r>
        <w:rPr>
          <w:lang w:eastAsia="zh-Hans"/>
        </w:rPr>
        <w:t>编外人员控制情况</w:t>
      </w:r>
    </w:p>
    <w:p>
      <w:bookmarkStart w:id="0" w:name="_Hlk35260783"/>
      <w:bookmarkStart w:id="1" w:name="_Hlk35260811"/>
      <w:r>
        <w:rPr>
          <w:rFonts w:hint="eastAsia"/>
          <w:bCs/>
        </w:rPr>
        <w:t>截止2021年12月31日，校本级</w:t>
      </w:r>
      <w:r>
        <w:rPr>
          <w:rFonts w:hint="eastAsia"/>
        </w:rPr>
        <w:t>实际编外人员2人，</w:t>
      </w:r>
      <w:bookmarkEnd w:id="0"/>
      <w:bookmarkEnd w:id="1"/>
      <w:r>
        <w:rPr>
          <w:rFonts w:hint="eastAsia"/>
        </w:rPr>
        <w:t>在职人员总数127人，编外人员控制率为1.57%。</w:t>
      </w:r>
    </w:p>
    <w:p>
      <w:pPr>
        <w:pStyle w:val="4"/>
        <w:numPr>
          <w:ilvl w:val="0"/>
          <w:numId w:val="0"/>
        </w:numPr>
        <w:ind w:left="640" w:leftChars="200"/>
        <w:rPr>
          <w:lang w:eastAsia="zh-Hans"/>
        </w:rPr>
      </w:pPr>
      <w:r>
        <w:rPr>
          <w:lang w:eastAsia="zh-Hans"/>
        </w:rPr>
        <w:t>5</w:t>
      </w:r>
      <w:r>
        <w:rPr>
          <w:rFonts w:hint="eastAsia"/>
          <w:lang w:eastAsia="zh-Hans"/>
        </w:rPr>
        <w:t>.</w:t>
      </w:r>
      <w:r>
        <w:rPr>
          <w:lang w:eastAsia="zh-Hans"/>
        </w:rPr>
        <w:t>制度管理情况</w:t>
      </w:r>
    </w:p>
    <w:p>
      <w:pPr>
        <w:rPr>
          <w:lang w:eastAsia="zh-Hans"/>
        </w:rPr>
      </w:pPr>
      <w:r>
        <w:rPr>
          <w:rFonts w:hint="eastAsia"/>
        </w:rPr>
        <w:t>校本级</w:t>
      </w:r>
      <w:r>
        <w:rPr>
          <w:rFonts w:hint="eastAsia"/>
          <w:lang w:eastAsia="zh-Hans"/>
        </w:rPr>
        <w:t>制定了《中共深圳市委党校财务管理制度》《中共深圳市委党校固定资产管理制度》</w:t>
      </w:r>
      <w:r>
        <w:rPr>
          <w:rFonts w:hint="eastAsia"/>
        </w:rPr>
        <w:t>《中共深圳市委党校预算管理制度》</w:t>
      </w:r>
      <w:r>
        <w:rPr>
          <w:rFonts w:hint="eastAsia"/>
          <w:lang w:eastAsia="zh-Hans"/>
        </w:rPr>
        <w:t>《中共深圳市委党校政府采购管理制度》等十八项内控制度，</w:t>
      </w:r>
      <w:r>
        <w:rPr>
          <w:rFonts w:hint="eastAsia"/>
        </w:rPr>
        <w:t>涵盖了财务管理、预算绩效管理、</w:t>
      </w:r>
      <w:r>
        <w:rPr>
          <w:rFonts w:hint="eastAsia"/>
          <w:bCs/>
        </w:rPr>
        <w:t>合</w:t>
      </w:r>
      <w:r>
        <w:rPr>
          <w:rFonts w:hint="eastAsia" w:hAnsi="楷体_GB2312" w:cs="楷体_GB2312"/>
          <w:bCs/>
        </w:rPr>
        <w:t>同管理、预算编制、公务卡等</w:t>
      </w:r>
      <w:r>
        <w:rPr>
          <w:rFonts w:hint="eastAsia"/>
        </w:rPr>
        <w:t>。贯彻落实了中共中央政治局《关于改进工作作风、密切联系群众的八项规定》的要求和《党政机关厉行节约反对浪费条例》的精神及省市有关规定，规范学校财务工作，加强财务管理，严肃财经纪律，提高资金使用效益。校本级</w:t>
      </w:r>
      <w:r>
        <w:rPr>
          <w:rFonts w:hint="eastAsia"/>
          <w:lang w:eastAsia="zh-Hans"/>
        </w:rPr>
        <w:t>各项业务活动均按照制度执行，各项制度均能够得到有效执行。</w:t>
      </w:r>
    </w:p>
    <w:p>
      <w:pPr>
        <w:pStyle w:val="3"/>
        <w:numPr>
          <w:ilvl w:val="0"/>
          <w:numId w:val="0"/>
        </w:numPr>
        <w:ind w:left="640" w:leftChars="200"/>
        <w:jc w:val="both"/>
      </w:pPr>
      <w:r>
        <w:t>二、部门主要履职绩效分析</w:t>
      </w:r>
    </w:p>
    <w:p>
      <w:pPr>
        <w:pStyle w:val="2"/>
        <w:ind w:firstLine="640"/>
      </w:pPr>
      <w:r>
        <w:t>（一）主要履职目标</w:t>
      </w:r>
    </w:p>
    <w:p>
      <w:pPr>
        <w:rPr>
          <w:rFonts w:ascii="Times New Roman Regular" w:hAnsi="Times New Roman Regular" w:cs="Times New Roman Regular"/>
          <w:color w:val="FF0000"/>
          <w:lang w:eastAsia="zh-Hans"/>
        </w:rPr>
      </w:pPr>
      <w:r>
        <w:t>以习近平新时代中国特色社会主义思想为指导，深入学习贯彻习近平总书记关于党校办学治校系列重要指示精神和党的十九大、十九届</w:t>
      </w:r>
      <w:r>
        <w:rPr>
          <w:rFonts w:hint="eastAsia"/>
        </w:rPr>
        <w:t>各</w:t>
      </w:r>
      <w:r>
        <w:t>中全会精神，贯彻落实《中国共产党党校（行政学院）工作条例》和全国、全省党校（行政学院）常务副校（院）长会议，以及市第七次党代会、全市干部教育培训工作会议精神，坚持铸魂赋能、守正创新，奋力推进全市党校事业高质量创新发展。</w:t>
      </w:r>
    </w:p>
    <w:p>
      <w:pPr>
        <w:pStyle w:val="2"/>
        <w:ind w:firstLine="640"/>
      </w:pPr>
      <w:r>
        <w:t>（二）主要履职情况</w:t>
      </w:r>
    </w:p>
    <w:p>
      <w:pPr>
        <w:pStyle w:val="4"/>
        <w:numPr>
          <w:ilvl w:val="0"/>
          <w:numId w:val="0"/>
        </w:numPr>
        <w:ind w:firstLine="643" w:firstLineChars="200"/>
      </w:pPr>
      <w:r>
        <w:rPr>
          <w:rFonts w:hint="eastAsia"/>
        </w:rPr>
        <w:t>1.深入实施“铸魂赋能”工程，扎实推动习近平新时代中国特色社会主义思想入脑入心</w:t>
      </w:r>
    </w:p>
    <w:p>
      <w:pPr>
        <w:ind w:firstLine="643"/>
        <w:rPr>
          <w:spacing w:val="14"/>
        </w:rPr>
      </w:pPr>
      <w:r>
        <w:rPr>
          <w:rFonts w:hint="eastAsia"/>
          <w:b/>
          <w:bCs/>
        </w:rPr>
        <w:t>一是</w:t>
      </w:r>
      <w:r>
        <w:rPr>
          <w:rFonts w:hint="eastAsia"/>
        </w:rPr>
        <w:t>持续深化“4个100”行动。深入贯彻实施“习</w:t>
      </w:r>
      <w:r>
        <w:rPr>
          <w:rFonts w:hint="eastAsia"/>
          <w:spacing w:val="14"/>
        </w:rPr>
        <w:t>近平新时代中国特色社会主义思想精品课程开发计划”，持续优化习近平新时代中国特色社会主义思想“1+10+</w:t>
      </w:r>
      <w:r>
        <w:rPr>
          <w:rFonts w:ascii="Times New Roman" w:hAnsi="Times New Roman" w:cs="Times New Roman"/>
          <w:spacing w:val="14"/>
        </w:rPr>
        <w:t>N</w:t>
      </w:r>
      <w:r>
        <w:rPr>
          <w:rFonts w:hint="eastAsia"/>
          <w:spacing w:val="14"/>
        </w:rPr>
        <w:t>”课程体系。</w:t>
      </w:r>
    </w:p>
    <w:p>
      <w:pPr>
        <w:ind w:firstLine="698"/>
        <w:rPr>
          <w:spacing w:val="14"/>
        </w:rPr>
      </w:pPr>
      <w:r>
        <w:rPr>
          <w:rFonts w:hint="eastAsia"/>
          <w:b/>
          <w:bCs/>
          <w:spacing w:val="14"/>
        </w:rPr>
        <w:t>二是</w:t>
      </w:r>
      <w:r>
        <w:rPr>
          <w:rFonts w:hint="eastAsia"/>
          <w:spacing w:val="14"/>
        </w:rPr>
        <w:t>精心组织开展干部教育培训。全年举办市委理论学习中心组暨全市市级、正局级主要领导干部党史学习教育专题研讨班、全市局处级以上主要领导干部学习贯彻党的十九届六中全会精神专题研讨班。</w:t>
      </w:r>
    </w:p>
    <w:p>
      <w:pPr>
        <w:ind w:firstLine="698"/>
      </w:pPr>
      <w:r>
        <w:rPr>
          <w:rFonts w:hint="eastAsia"/>
          <w:b/>
          <w:bCs/>
          <w:spacing w:val="14"/>
        </w:rPr>
        <w:t>三是</w:t>
      </w:r>
      <w:r>
        <w:rPr>
          <w:rFonts w:hint="eastAsia"/>
          <w:spacing w:val="14"/>
        </w:rPr>
        <w:t>深入开展“用学术讲政治”系列活动。“用学术讲政治好书推荐”活动，新增“读书沙龙”好书分享系列。</w:t>
      </w:r>
    </w:p>
    <w:p>
      <w:pPr>
        <w:pStyle w:val="4"/>
        <w:numPr>
          <w:ilvl w:val="0"/>
          <w:numId w:val="0"/>
        </w:numPr>
        <w:ind w:firstLine="643" w:firstLineChars="200"/>
      </w:pPr>
      <w:r>
        <w:rPr>
          <w:rFonts w:hint="eastAsia"/>
        </w:rPr>
        <w:t>2.坚持深化改革创新，稳步推进新时代干部教育培训高质量发展</w:t>
      </w:r>
    </w:p>
    <w:p>
      <w:pPr>
        <w:ind w:firstLine="643"/>
        <w:rPr>
          <w:spacing w:val="14"/>
        </w:rPr>
      </w:pPr>
      <w:r>
        <w:rPr>
          <w:rFonts w:hint="eastAsia"/>
          <w:b/>
          <w:bCs/>
        </w:rPr>
        <w:t>一是</w:t>
      </w:r>
      <w:r>
        <w:rPr>
          <w:rFonts w:hint="eastAsia"/>
          <w:spacing w:val="14"/>
        </w:rPr>
        <w:t>全面深化“四个70%”教学供给侧改革。聚焦主责主业，优化打造2021年版“5+15+160+</w:t>
      </w:r>
      <w:r>
        <w:rPr>
          <w:rFonts w:ascii="Times New Roman" w:hAnsi="Times New Roman" w:cs="Times New Roman"/>
          <w:spacing w:val="14"/>
        </w:rPr>
        <w:t>N</w:t>
      </w:r>
      <w:r>
        <w:rPr>
          <w:rFonts w:hint="eastAsia"/>
          <w:spacing w:val="14"/>
        </w:rPr>
        <w:t>”课程体系。</w:t>
      </w:r>
    </w:p>
    <w:p>
      <w:pPr>
        <w:ind w:firstLine="698"/>
      </w:pPr>
      <w:r>
        <w:rPr>
          <w:rFonts w:hint="eastAsia"/>
          <w:b/>
          <w:bCs/>
          <w:spacing w:val="14"/>
        </w:rPr>
        <w:t>二是</w:t>
      </w:r>
      <w:r>
        <w:rPr>
          <w:rFonts w:hint="eastAsia"/>
          <w:spacing w:val="14"/>
        </w:rPr>
        <w:t>创新打造“双师赋能翻转课堂”。以103个实践案例为重点，以“双师”为特色，以“学员”为重心，以“问题”为锚点，以“赋能”为目标，有效撬动学员“需求端”自主学习的动能性与求知欲，有效解决理论与实践脱钩“两张皮”的问题，初步实现了课堂内外翻转、师生角色翻转、理论实践翻转、行业内外翻转和自我翻转等“五个翻转”。</w:t>
      </w:r>
    </w:p>
    <w:p>
      <w:pPr>
        <w:pStyle w:val="4"/>
        <w:numPr>
          <w:ilvl w:val="0"/>
          <w:numId w:val="0"/>
        </w:numPr>
        <w:ind w:left="640" w:leftChars="200"/>
      </w:pPr>
      <w:r>
        <w:rPr>
          <w:rFonts w:hint="eastAsia"/>
        </w:rPr>
        <w:t>3.坚持用学术讲政治，着力打造党校特色科研工作新范式</w:t>
      </w:r>
    </w:p>
    <w:p>
      <w:pPr>
        <w:ind w:firstLine="643"/>
        <w:rPr>
          <w:spacing w:val="14"/>
        </w:rPr>
      </w:pPr>
      <w:r>
        <w:rPr>
          <w:rFonts w:hint="eastAsia"/>
          <w:b/>
          <w:bCs/>
        </w:rPr>
        <w:t>一是</w:t>
      </w:r>
      <w:r>
        <w:rPr>
          <w:rFonts w:hint="eastAsia"/>
          <w:spacing w:val="14"/>
        </w:rPr>
        <w:t>全力建设先行示范区研究中心。举办《深圳帮扶30年》《全球标杆城市：国家战略与深圳使命》课题成果媒体发布会，并作为首批香蜜湖智库丛书出版发行；成功举办第二届“香蜜湖论坛”等学术会议，聘任了薛其坤、郭仁忠等10位第二批特约研究员，研究中心影响力日益提升。</w:t>
      </w:r>
    </w:p>
    <w:p>
      <w:pPr>
        <w:ind w:firstLine="643"/>
      </w:pPr>
      <w:r>
        <w:rPr>
          <w:rFonts w:hint="eastAsia"/>
          <w:b/>
          <w:bCs/>
        </w:rPr>
        <w:t>二是</w:t>
      </w:r>
      <w:r>
        <w:rPr>
          <w:rFonts w:hint="eastAsia"/>
          <w:spacing w:val="14"/>
        </w:rPr>
        <w:t>广泛开展“点穴式”咨政研究。围绕党的十九届六中全会精神和习近平总书记系列重要讲话精神和重要指示批示精神，聚焦深圳“双区”建设、疫情防控等精准选题，明确主攻方向打好“优势牌”，挖掘教师潜力打好“合力牌”，善用智库资源打好“学员牌”。</w:t>
      </w:r>
    </w:p>
    <w:p>
      <w:pPr>
        <w:pStyle w:val="4"/>
        <w:numPr>
          <w:ilvl w:val="0"/>
          <w:numId w:val="0"/>
        </w:numPr>
        <w:ind w:left="640" w:leftChars="200"/>
      </w:pPr>
      <w:r>
        <w:rPr>
          <w:rFonts w:hint="eastAsia"/>
        </w:rPr>
        <w:t>4.持续深化人才队伍建设，打造高水平师资队伍</w:t>
      </w:r>
    </w:p>
    <w:p>
      <w:pPr>
        <w:ind w:firstLine="643"/>
      </w:pPr>
      <w:r>
        <w:rPr>
          <w:rFonts w:hint="eastAsia"/>
          <w:b/>
          <w:bCs/>
        </w:rPr>
        <w:t>一是</w:t>
      </w:r>
      <w:r>
        <w:rPr>
          <w:rFonts w:hint="eastAsia"/>
          <w:spacing w:val="14"/>
        </w:rPr>
        <w:t>部署实施“我是马克思主义者”三年行动。围绕“学、悟、信、讲、育、行”等六个环节，组织开展“马克思主义在深圳”深调研、“我的马克思主义信仰之路”思享会等具体活动，鲜明地亮出“我是马克思主义者”这一共产党员的精神标识</w:t>
      </w:r>
      <w:r>
        <w:rPr>
          <w:rFonts w:hint="eastAsia"/>
        </w:rPr>
        <w:t>。</w:t>
      </w:r>
    </w:p>
    <w:p>
      <w:pPr>
        <w:ind w:firstLine="643"/>
      </w:pPr>
      <w:r>
        <w:rPr>
          <w:rFonts w:hint="eastAsia"/>
          <w:b/>
          <w:bCs/>
        </w:rPr>
        <w:t>二是</w:t>
      </w:r>
      <w:r>
        <w:rPr>
          <w:rFonts w:hint="eastAsia"/>
          <w:spacing w:val="14"/>
        </w:rPr>
        <w:t>开展为期一年的党建专题全员培训。按照中央党校、省委党校要求，举办党建专题全员培训班，引导党校教职员工自觉学习马克思主义经典著作，努力做到党史最懂、党建最专、党性最强</w:t>
      </w:r>
      <w:r>
        <w:rPr>
          <w:rFonts w:hint="eastAsia"/>
        </w:rPr>
        <w:t>。</w:t>
      </w:r>
    </w:p>
    <w:p>
      <w:pPr>
        <w:ind w:firstLine="643"/>
      </w:pPr>
      <w:r>
        <w:rPr>
          <w:rFonts w:hint="eastAsia"/>
          <w:b/>
          <w:bCs/>
        </w:rPr>
        <w:t>三是</w:t>
      </w:r>
      <w:r>
        <w:rPr>
          <w:rFonts w:hint="eastAsia"/>
          <w:spacing w:val="14"/>
        </w:rPr>
        <w:t>探索党校系统教研人员培训模式改革。围绕“新时代干部培训模式改革”主题，为每个学员安排了个性化定制培训课程，把研究式学习和实战演练结合起来，探索建立供需联动的双向赋能培训机制</w:t>
      </w:r>
      <w:r>
        <w:rPr>
          <w:rFonts w:hint="eastAsia"/>
        </w:rPr>
        <w:t>。</w:t>
      </w:r>
    </w:p>
    <w:p>
      <w:pPr>
        <w:pStyle w:val="4"/>
        <w:numPr>
          <w:ilvl w:val="0"/>
          <w:numId w:val="0"/>
        </w:numPr>
        <w:ind w:left="640" w:leftChars="200"/>
      </w:pPr>
      <w:r>
        <w:rPr>
          <w:rFonts w:hint="eastAsia"/>
        </w:rPr>
        <w:t>5.着力打造“三味校园”，全面优化提升服务保障水平</w:t>
      </w:r>
    </w:p>
    <w:p>
      <w:pPr>
        <w:ind w:firstLine="643"/>
      </w:pPr>
      <w:r>
        <w:rPr>
          <w:rFonts w:hint="eastAsia"/>
          <w:b/>
          <w:bCs/>
        </w:rPr>
        <w:t>一是</w:t>
      </w:r>
      <w:r>
        <w:rPr>
          <w:rFonts w:hint="eastAsia"/>
          <w:spacing w:val="14"/>
        </w:rPr>
        <w:t>打造有“党味”的红色校园。深入开展党史学习教育，组织“党旗下忆初心政治生日会”；严格执行市委坚决</w:t>
      </w:r>
      <w:r>
        <w:rPr>
          <w:rFonts w:hint="eastAsia"/>
          <w:spacing w:val="14"/>
          <w:lang w:val="en-US" w:eastAsia="zh-CN"/>
        </w:rPr>
        <w:t>做到</w:t>
      </w:r>
      <w:r>
        <w:rPr>
          <w:rFonts w:hint="eastAsia"/>
          <w:spacing w:val="14"/>
        </w:rPr>
        <w:t>“两个维护”十项制度机制实施方案，配合完成专项巡察</w:t>
      </w:r>
      <w:r>
        <w:rPr>
          <w:rFonts w:hint="eastAsia"/>
        </w:rPr>
        <w:t>。</w:t>
      </w:r>
      <w:bookmarkStart w:id="2" w:name="_GoBack"/>
      <w:bookmarkEnd w:id="2"/>
    </w:p>
    <w:p>
      <w:pPr>
        <w:ind w:firstLine="643"/>
      </w:pPr>
      <w:r>
        <w:rPr>
          <w:rFonts w:hint="eastAsia"/>
          <w:b/>
          <w:bCs/>
        </w:rPr>
        <w:t>二是</w:t>
      </w:r>
      <w:r>
        <w:rPr>
          <w:rFonts w:hint="eastAsia"/>
          <w:spacing w:val="14"/>
        </w:rPr>
        <w:t>打造有“韵味”的文化校园。建设品书房、学苑书屋、市委党校党群书吧（机关书屋）示范点</w:t>
      </w:r>
      <w:r>
        <w:rPr>
          <w:rFonts w:hint="eastAsia"/>
        </w:rPr>
        <w:t>。</w:t>
      </w:r>
    </w:p>
    <w:p>
      <w:pPr>
        <w:ind w:firstLine="643"/>
      </w:pPr>
      <w:r>
        <w:rPr>
          <w:rFonts w:hint="eastAsia"/>
          <w:b/>
          <w:bCs/>
        </w:rPr>
        <w:t>三是</w:t>
      </w:r>
      <w:r>
        <w:rPr>
          <w:rFonts w:hint="eastAsia"/>
          <w:spacing w:val="14"/>
        </w:rPr>
        <w:t>打造有“品味”的优美校园。完成基础业务用房改扩建及修缮工程、“互联网+明厨亮灶”等项目建设，全力打造功能齐全、环境优美的特区党校</w:t>
      </w:r>
      <w:r>
        <w:rPr>
          <w:rFonts w:hint="eastAsia"/>
        </w:rPr>
        <w:t>。</w:t>
      </w:r>
    </w:p>
    <w:p>
      <w:pPr>
        <w:pStyle w:val="2"/>
        <w:ind w:firstLine="640"/>
      </w:pPr>
      <w:r>
        <w:t>（三）部门履职绩效情况</w:t>
      </w:r>
    </w:p>
    <w:p>
      <w:pPr>
        <w:pStyle w:val="4"/>
        <w:numPr>
          <w:ilvl w:val="0"/>
          <w:numId w:val="0"/>
        </w:numPr>
        <w:ind w:left="640" w:leftChars="200"/>
        <w:rPr>
          <w:lang w:eastAsia="zh-Hans"/>
        </w:rPr>
      </w:pPr>
      <w:r>
        <w:rPr>
          <w:lang w:eastAsia="zh-Hans"/>
        </w:rPr>
        <w:t>1</w:t>
      </w:r>
      <w:r>
        <w:rPr>
          <w:rFonts w:hint="eastAsia"/>
          <w:lang w:eastAsia="zh-Hans"/>
        </w:rPr>
        <w:t>.</w:t>
      </w:r>
      <w:r>
        <w:rPr>
          <w:lang w:eastAsia="zh-Hans"/>
        </w:rPr>
        <w:t>经济性</w:t>
      </w:r>
    </w:p>
    <w:p>
      <w:pPr>
        <w:pStyle w:val="5"/>
      </w:pPr>
      <w:r>
        <w:rPr>
          <w:rFonts w:hint="eastAsia"/>
        </w:rPr>
        <w:t>（1）“三公”经费控制率</w:t>
      </w:r>
    </w:p>
    <w:p>
      <w:pPr>
        <w:rPr>
          <w:lang w:eastAsia="zh-Hans"/>
        </w:rPr>
      </w:pPr>
      <w:r>
        <w:rPr>
          <w:rFonts w:hint="eastAsia"/>
        </w:rPr>
        <w:t>校本级2021年度“三公”经费预算安排10万元，其中，公务用车运行维护费预算为8万元，公务接待费预算为2万元。“三公”经费实际支出9.13万元，其中，公务用车运行维护费支出为8万元，公务接待费支出为1.13万元，“三公”经费控制率为91.3%。</w:t>
      </w:r>
    </w:p>
    <w:p>
      <w:pPr>
        <w:pStyle w:val="5"/>
      </w:pPr>
      <w:r>
        <w:rPr>
          <w:rFonts w:hint="eastAsia"/>
        </w:rPr>
        <w:t>（2）日常公用经费控制率</w:t>
      </w:r>
    </w:p>
    <w:p>
      <w:r>
        <w:rPr>
          <w:rFonts w:hint="eastAsia"/>
        </w:rPr>
        <w:t>校本级2021年度日常公用经费调整预算数1,741.19万元，日常公用经费决算数为1,698.55万元，日常公用经费控制率为97.55%，机构运转成本均在预算范围内。</w:t>
      </w:r>
    </w:p>
    <w:p>
      <w:pPr>
        <w:pStyle w:val="4"/>
        <w:numPr>
          <w:ilvl w:val="0"/>
          <w:numId w:val="0"/>
        </w:numPr>
        <w:ind w:left="640" w:leftChars="200"/>
      </w:pPr>
      <w:r>
        <w:rPr>
          <w:lang w:eastAsia="zh-Hans"/>
        </w:rPr>
        <w:t>2.效率性</w:t>
      </w:r>
    </w:p>
    <w:p>
      <w:pPr>
        <w:pStyle w:val="5"/>
        <w:jc w:val="both"/>
        <w:rPr>
          <w:lang w:eastAsia="zh-Hans"/>
        </w:rPr>
      </w:pPr>
      <w:r>
        <w:rPr>
          <w:lang w:eastAsia="zh-Hans"/>
        </w:rPr>
        <w:t>（1）预算执行率</w:t>
      </w:r>
    </w:p>
    <w:p>
      <w:pPr>
        <w:rPr>
          <w:lang w:eastAsia="zh-Hans"/>
        </w:rPr>
      </w:pPr>
      <w:r>
        <w:rPr>
          <w:rFonts w:hint="eastAsia"/>
          <w:lang w:eastAsia="zh-Hans"/>
        </w:rPr>
        <w:t>2021年度，</w:t>
      </w:r>
      <w:r>
        <w:rPr>
          <w:rFonts w:hint="eastAsia"/>
        </w:rPr>
        <w:t>我校</w:t>
      </w:r>
      <w:r>
        <w:rPr>
          <w:rFonts w:hint="eastAsia"/>
          <w:lang w:eastAsia="zh-Hans"/>
        </w:rPr>
        <w:t>全年预算总额21,471.82万元，全年支出数为19,330.78万元，总执行率为90.03%。其中：</w:t>
      </w:r>
    </w:p>
    <w:p>
      <w:pPr>
        <w:ind w:firstLine="643"/>
        <w:rPr>
          <w:lang w:eastAsia="zh-Hans"/>
        </w:rPr>
      </w:pPr>
      <w:r>
        <w:rPr>
          <w:rFonts w:hint="eastAsia"/>
          <w:b/>
          <w:bCs/>
        </w:rPr>
        <w:t>第一季度，</w:t>
      </w:r>
      <w:r>
        <w:rPr>
          <w:rFonts w:hint="eastAsia"/>
        </w:rPr>
        <w:t>累计支出5,106.9万元，</w:t>
      </w:r>
      <w:r>
        <w:rPr>
          <w:rFonts w:hint="eastAsia"/>
          <w:lang w:eastAsia="zh-Hans"/>
        </w:rPr>
        <w:t>总预算</w:t>
      </w:r>
      <w:r>
        <w:rPr>
          <w:rFonts w:hint="eastAsia"/>
        </w:rPr>
        <w:t>18,833.27</w:t>
      </w:r>
      <w:r>
        <w:rPr>
          <w:rFonts w:hint="eastAsia"/>
          <w:lang w:eastAsia="zh-Hans"/>
        </w:rPr>
        <w:t>万元，支出进度为</w:t>
      </w:r>
      <w:r>
        <w:rPr>
          <w:rFonts w:hint="eastAsia"/>
        </w:rPr>
        <w:t>27.12</w:t>
      </w:r>
      <w:r>
        <w:rPr>
          <w:rFonts w:hint="eastAsia"/>
          <w:lang w:eastAsia="zh-Hans"/>
        </w:rPr>
        <w:t>%，季度</w:t>
      </w:r>
      <w:r>
        <w:rPr>
          <w:rFonts w:hint="eastAsia"/>
        </w:rPr>
        <w:t>序时进度25%，</w:t>
      </w:r>
      <w:r>
        <w:rPr>
          <w:rFonts w:hint="eastAsia"/>
          <w:lang w:eastAsia="zh-Hans"/>
        </w:rPr>
        <w:t>季度预算执行率为</w:t>
      </w:r>
      <w:r>
        <w:rPr>
          <w:rFonts w:hint="eastAsia"/>
        </w:rPr>
        <w:t>108.47</w:t>
      </w:r>
      <w:r>
        <w:rPr>
          <w:rFonts w:hint="eastAsia"/>
          <w:lang w:eastAsia="zh-Hans"/>
        </w:rPr>
        <w:t>%。</w:t>
      </w:r>
    </w:p>
    <w:p>
      <w:pPr>
        <w:ind w:firstLine="643"/>
        <w:rPr>
          <w:lang w:eastAsia="zh-Hans"/>
        </w:rPr>
      </w:pPr>
      <w:r>
        <w:rPr>
          <w:rFonts w:hint="eastAsia"/>
          <w:b/>
          <w:bCs/>
        </w:rPr>
        <w:t>第</w:t>
      </w:r>
      <w:r>
        <w:rPr>
          <w:rFonts w:hint="eastAsia"/>
          <w:b/>
          <w:bCs/>
          <w:lang w:eastAsia="zh-Hans"/>
        </w:rPr>
        <w:t>二</w:t>
      </w:r>
      <w:r>
        <w:rPr>
          <w:rFonts w:hint="eastAsia"/>
          <w:b/>
          <w:bCs/>
        </w:rPr>
        <w:t>季度，</w:t>
      </w:r>
      <w:r>
        <w:rPr>
          <w:rFonts w:hint="eastAsia"/>
        </w:rPr>
        <w:t>累计支出9,558.2万元，</w:t>
      </w:r>
      <w:r>
        <w:rPr>
          <w:rFonts w:hint="eastAsia"/>
          <w:lang w:eastAsia="zh-Hans"/>
        </w:rPr>
        <w:t>总预算</w:t>
      </w:r>
      <w:r>
        <w:rPr>
          <w:rFonts w:hint="eastAsia"/>
        </w:rPr>
        <w:t>20,523.46</w:t>
      </w:r>
      <w:r>
        <w:rPr>
          <w:rFonts w:hint="eastAsia"/>
          <w:lang w:eastAsia="zh-Hans"/>
        </w:rPr>
        <w:t>万元，支出进度为</w:t>
      </w:r>
      <w:r>
        <w:rPr>
          <w:rFonts w:hint="eastAsia"/>
        </w:rPr>
        <w:t>46.57</w:t>
      </w:r>
      <w:r>
        <w:rPr>
          <w:rFonts w:hint="eastAsia"/>
          <w:lang w:eastAsia="zh-Hans"/>
        </w:rPr>
        <w:t>%，季度</w:t>
      </w:r>
      <w:r>
        <w:rPr>
          <w:rFonts w:hint="eastAsia"/>
        </w:rPr>
        <w:t>序时进度50%，</w:t>
      </w:r>
      <w:r>
        <w:rPr>
          <w:rFonts w:hint="eastAsia"/>
          <w:lang w:eastAsia="zh-Hans"/>
        </w:rPr>
        <w:t>季度预算执行率为</w:t>
      </w:r>
      <w:r>
        <w:rPr>
          <w:rFonts w:hint="eastAsia"/>
        </w:rPr>
        <w:t>93.14</w:t>
      </w:r>
      <w:r>
        <w:rPr>
          <w:rFonts w:hint="eastAsia"/>
          <w:lang w:eastAsia="zh-Hans"/>
        </w:rPr>
        <w:t>%。</w:t>
      </w:r>
    </w:p>
    <w:p>
      <w:pPr>
        <w:ind w:firstLine="643"/>
        <w:rPr>
          <w:lang w:eastAsia="zh-Hans"/>
        </w:rPr>
      </w:pPr>
      <w:r>
        <w:rPr>
          <w:rFonts w:hint="eastAsia"/>
          <w:b/>
          <w:bCs/>
        </w:rPr>
        <w:t>第</w:t>
      </w:r>
      <w:r>
        <w:rPr>
          <w:rFonts w:hint="eastAsia"/>
          <w:b/>
          <w:bCs/>
          <w:lang w:eastAsia="zh-Hans"/>
        </w:rPr>
        <w:t>三</w:t>
      </w:r>
      <w:r>
        <w:rPr>
          <w:rFonts w:hint="eastAsia"/>
          <w:b/>
          <w:bCs/>
        </w:rPr>
        <w:t>季度，</w:t>
      </w:r>
      <w:r>
        <w:rPr>
          <w:rFonts w:hint="eastAsia"/>
        </w:rPr>
        <w:t>累计支出13,212.61万元，</w:t>
      </w:r>
      <w:r>
        <w:rPr>
          <w:rFonts w:hint="eastAsia"/>
          <w:lang w:eastAsia="zh-Hans"/>
        </w:rPr>
        <w:t>总预算</w:t>
      </w:r>
      <w:r>
        <w:rPr>
          <w:rFonts w:hint="eastAsia"/>
        </w:rPr>
        <w:t>20,777.39</w:t>
      </w:r>
      <w:r>
        <w:rPr>
          <w:rFonts w:hint="eastAsia"/>
          <w:lang w:eastAsia="zh-Hans"/>
        </w:rPr>
        <w:t>万元，支出进度为</w:t>
      </w:r>
      <w:r>
        <w:rPr>
          <w:rFonts w:hint="eastAsia"/>
        </w:rPr>
        <w:t>63.59</w:t>
      </w:r>
      <w:r>
        <w:rPr>
          <w:rFonts w:hint="eastAsia"/>
          <w:lang w:eastAsia="zh-Hans"/>
        </w:rPr>
        <w:t>%，季度</w:t>
      </w:r>
      <w:r>
        <w:rPr>
          <w:rFonts w:hint="eastAsia"/>
        </w:rPr>
        <w:t>序时进度75%，</w:t>
      </w:r>
      <w:r>
        <w:rPr>
          <w:rFonts w:hint="eastAsia"/>
          <w:lang w:eastAsia="zh-Hans"/>
        </w:rPr>
        <w:t>季度预算执行率为</w:t>
      </w:r>
      <w:r>
        <w:rPr>
          <w:rFonts w:hint="eastAsia"/>
        </w:rPr>
        <w:t>84.79</w:t>
      </w:r>
      <w:r>
        <w:rPr>
          <w:rFonts w:hint="eastAsia"/>
          <w:lang w:eastAsia="zh-Hans"/>
        </w:rPr>
        <w:t>%。</w:t>
      </w:r>
    </w:p>
    <w:p>
      <w:pPr>
        <w:ind w:firstLine="643"/>
        <w:rPr>
          <w:lang w:eastAsia="zh-Hans"/>
        </w:rPr>
      </w:pPr>
      <w:r>
        <w:rPr>
          <w:rFonts w:hint="eastAsia"/>
          <w:b/>
          <w:bCs/>
        </w:rPr>
        <w:t>第</w:t>
      </w:r>
      <w:r>
        <w:rPr>
          <w:rFonts w:hint="eastAsia"/>
          <w:b/>
          <w:bCs/>
          <w:lang w:eastAsia="zh-Hans"/>
        </w:rPr>
        <w:t>四</w:t>
      </w:r>
      <w:r>
        <w:rPr>
          <w:rFonts w:hint="eastAsia"/>
          <w:b/>
          <w:bCs/>
        </w:rPr>
        <w:t>季度，</w:t>
      </w:r>
      <w:r>
        <w:rPr>
          <w:rFonts w:hint="eastAsia"/>
        </w:rPr>
        <w:t>累计支出19,330.78万元，</w:t>
      </w:r>
      <w:r>
        <w:rPr>
          <w:rFonts w:hint="eastAsia"/>
          <w:lang w:eastAsia="zh-Hans"/>
        </w:rPr>
        <w:t>总预算</w:t>
      </w:r>
      <w:r>
        <w:rPr>
          <w:rFonts w:hint="eastAsia"/>
        </w:rPr>
        <w:t>21,471.82</w:t>
      </w:r>
      <w:r>
        <w:rPr>
          <w:rFonts w:hint="eastAsia"/>
          <w:lang w:eastAsia="zh-Hans"/>
        </w:rPr>
        <w:t>万元，支出进度为</w:t>
      </w:r>
      <w:r>
        <w:rPr>
          <w:rFonts w:hint="eastAsia"/>
        </w:rPr>
        <w:t>90.03</w:t>
      </w:r>
      <w:r>
        <w:rPr>
          <w:rFonts w:hint="eastAsia"/>
          <w:lang w:eastAsia="zh-Hans"/>
        </w:rPr>
        <w:t>%，季度</w:t>
      </w:r>
      <w:r>
        <w:rPr>
          <w:rFonts w:hint="eastAsia"/>
        </w:rPr>
        <w:t>序时进度100%，</w:t>
      </w:r>
      <w:r>
        <w:rPr>
          <w:rFonts w:hint="eastAsia"/>
          <w:lang w:eastAsia="zh-Hans"/>
        </w:rPr>
        <w:t>季度预算执行率为</w:t>
      </w:r>
      <w:r>
        <w:rPr>
          <w:rFonts w:hint="eastAsia"/>
        </w:rPr>
        <w:t>90.03</w:t>
      </w:r>
      <w:r>
        <w:rPr>
          <w:rFonts w:hint="eastAsia"/>
          <w:lang w:eastAsia="zh-Hans"/>
        </w:rPr>
        <w:t>%。</w:t>
      </w:r>
    </w:p>
    <w:p>
      <w:pPr>
        <w:rPr>
          <w:lang w:eastAsia="zh-Hans"/>
        </w:rPr>
      </w:pPr>
      <w:r>
        <w:rPr>
          <w:rFonts w:hint="eastAsia"/>
          <w:lang w:eastAsia="zh-Hans"/>
        </w:rPr>
        <w:t>全年平均执行率</w:t>
      </w:r>
      <w:r>
        <w:rPr>
          <w:rFonts w:hint="eastAsia"/>
        </w:rPr>
        <w:t>=∑（108.47</w:t>
      </w:r>
      <w:r>
        <w:rPr>
          <w:rFonts w:hint="eastAsia"/>
          <w:lang w:eastAsia="zh-Hans"/>
        </w:rPr>
        <w:t>%</w:t>
      </w:r>
      <w:r>
        <w:rPr>
          <w:rFonts w:hint="eastAsia"/>
        </w:rPr>
        <w:t>+93.14</w:t>
      </w:r>
      <w:r>
        <w:rPr>
          <w:rFonts w:hint="eastAsia"/>
          <w:lang w:eastAsia="zh-Hans"/>
        </w:rPr>
        <w:t>%</w:t>
      </w:r>
      <w:r>
        <w:rPr>
          <w:rFonts w:hint="eastAsia"/>
        </w:rPr>
        <w:t>+84.79</w:t>
      </w:r>
      <w:r>
        <w:rPr>
          <w:rFonts w:hint="eastAsia"/>
          <w:lang w:eastAsia="zh-Hans"/>
        </w:rPr>
        <w:t>%</w:t>
      </w:r>
      <w:r>
        <w:rPr>
          <w:rFonts w:hint="eastAsia"/>
        </w:rPr>
        <w:t>+90.03</w:t>
      </w:r>
      <w:r>
        <w:rPr>
          <w:rFonts w:hint="eastAsia"/>
          <w:lang w:eastAsia="zh-Hans"/>
        </w:rPr>
        <w:t>%</w:t>
      </w:r>
      <w:r>
        <w:rPr>
          <w:rFonts w:hint="eastAsia"/>
        </w:rPr>
        <w:t>）÷4=94.11</w:t>
      </w:r>
      <w:r>
        <w:rPr>
          <w:rFonts w:hint="eastAsia"/>
          <w:lang w:eastAsia="zh-Hans"/>
        </w:rPr>
        <w:t>%。</w:t>
      </w:r>
    </w:p>
    <w:p>
      <w:pPr>
        <w:pStyle w:val="5"/>
        <w:jc w:val="both"/>
        <w:rPr>
          <w:lang w:eastAsia="zh-Hans"/>
        </w:rPr>
      </w:pPr>
      <w:r>
        <w:rPr>
          <w:rFonts w:hint="eastAsia"/>
        </w:rPr>
        <w:t>（2）</w:t>
      </w:r>
      <w:r>
        <w:rPr>
          <w:lang w:eastAsia="zh-Hans"/>
        </w:rPr>
        <w:t>重点工作完成情况</w:t>
      </w:r>
    </w:p>
    <w:p>
      <w:pPr>
        <w:ind w:firstLine="643"/>
      </w:pPr>
      <w:r>
        <w:rPr>
          <w:rFonts w:hint="eastAsia"/>
          <w:b/>
          <w:bCs/>
        </w:rPr>
        <w:t>一是</w:t>
      </w:r>
      <w:r>
        <w:rPr>
          <w:rFonts w:hint="eastAsia"/>
        </w:rPr>
        <w:t>深入实施“铸魂工程”，推动党的创新理论入脑。进一步加大习近平新时代中国特色社会主义思想的课程比重，持续深化“4个100”行动，不断优化“1+10+</w:t>
      </w:r>
      <w:r>
        <w:rPr>
          <w:rFonts w:ascii="Times New Roman" w:hAnsi="Times New Roman" w:cs="Times New Roman"/>
        </w:rPr>
        <w:t>N</w:t>
      </w:r>
      <w:r>
        <w:rPr>
          <w:rFonts w:hint="eastAsia"/>
        </w:rPr>
        <w:t>”的课程体系。</w:t>
      </w:r>
    </w:p>
    <w:p>
      <w:pPr>
        <w:ind w:firstLine="643"/>
      </w:pPr>
      <w:r>
        <w:rPr>
          <w:rFonts w:hint="eastAsia"/>
          <w:b/>
          <w:bCs/>
        </w:rPr>
        <w:t>二是</w:t>
      </w:r>
      <w:r>
        <w:rPr>
          <w:rFonts w:hint="eastAsia"/>
        </w:rPr>
        <w:t>扎实推进“赋能行动”，切实提高特区干部领导现代化建设能力。通过紧扣深圳先行示范区的历史使命，举办领导干部战略思维和斗争精神专题研讨班，开展多种形式的国际化培训项目，提升战略思维与国际视野。</w:t>
      </w:r>
    </w:p>
    <w:p>
      <w:pPr>
        <w:ind w:firstLine="643"/>
      </w:pPr>
      <w:r>
        <w:rPr>
          <w:rFonts w:hint="eastAsia"/>
          <w:b/>
          <w:bCs/>
        </w:rPr>
        <w:t>三是</w:t>
      </w:r>
      <w:r>
        <w:rPr>
          <w:rFonts w:hint="eastAsia"/>
        </w:rPr>
        <w:t>持续推动改革创新，稳步推进供需联动的教学改革2.0版。持续深化“四个70%”教学供给侧改革，聚焦主责主业，落实2021年版“5+15+160+</w:t>
      </w:r>
      <w:r>
        <w:rPr>
          <w:rFonts w:ascii="Times New Roman" w:hAnsi="Times New Roman" w:cs="Times New Roman"/>
        </w:rPr>
        <w:t>N</w:t>
      </w:r>
      <w:r>
        <w:rPr>
          <w:rFonts w:hint="eastAsia"/>
        </w:rPr>
        <w:t>”课程体系，更加积极地探索使用新型教学方式方法，吸收当前“最潮”的教学理念，加大行动学习法、结构化研讨、模拟竞演、沙盘推演等教学模式的使用力度。</w:t>
      </w:r>
    </w:p>
    <w:p>
      <w:pPr>
        <w:ind w:firstLine="643"/>
      </w:pPr>
      <w:r>
        <w:rPr>
          <w:rFonts w:hint="eastAsia"/>
          <w:b/>
          <w:bCs/>
        </w:rPr>
        <w:t>四是</w:t>
      </w:r>
      <w:r>
        <w:rPr>
          <w:rFonts w:hint="eastAsia"/>
        </w:rPr>
        <w:t>牢固树立党校特色学术导向。高度重视比较研究，把中国人民选择中国特色社会主义的历史逻辑理清楚、讲明白，把中国道路的世界意义、人类文明史意义理清楚、讲明白，让党校学术更具历史穿透力、未来感召力。更加注重通识导向，转变学术方式、学术习惯，更加注重宏观中观研究，培养跨学科的眼界、眼光，推动复合型学术。</w:t>
      </w:r>
    </w:p>
    <w:p>
      <w:pPr>
        <w:ind w:firstLine="643"/>
      </w:pPr>
      <w:r>
        <w:rPr>
          <w:rFonts w:hint="eastAsia"/>
          <w:b/>
          <w:bCs/>
        </w:rPr>
        <w:t>五是</w:t>
      </w:r>
      <w:r>
        <w:rPr>
          <w:rFonts w:hint="eastAsia"/>
        </w:rPr>
        <w:t>全力抓好年度重点科研任务。精心组织重大课题研究，布局开展“5+5”重大课题研究，包括5个全国招标课题和5个校内招标课题。</w:t>
      </w:r>
    </w:p>
    <w:p>
      <w:pPr>
        <w:ind w:firstLine="643"/>
      </w:pPr>
      <w:r>
        <w:rPr>
          <w:rFonts w:hint="eastAsia"/>
          <w:b/>
          <w:bCs/>
        </w:rPr>
        <w:t>六是</w:t>
      </w:r>
      <w:r>
        <w:rPr>
          <w:rFonts w:hint="eastAsia"/>
        </w:rPr>
        <w:t>着力构建科研赋能机制。通过推进教研咨一体化机制，进一步加大成果转化激励，促进教学、科研与决策咨询之间的良性互动与协调发展，引导教师根据教学需要开展学术研究，把学科优势、学术水平转化为教学优势、教学水平，为教学提供强有力的学术支撑。建立追加激励制度，对已经取得初步科研成果、值得信任的研究团队，追加激励、长期激励，鼓励广大教研人员静心研究、深入研究、持续研究。</w:t>
      </w:r>
    </w:p>
    <w:p>
      <w:pPr>
        <w:ind w:firstLine="643"/>
      </w:pPr>
      <w:r>
        <w:rPr>
          <w:rFonts w:hint="eastAsia"/>
          <w:b/>
          <w:bCs/>
        </w:rPr>
        <w:t>七是</w:t>
      </w:r>
      <w:r>
        <w:rPr>
          <w:rFonts w:hint="eastAsia"/>
        </w:rPr>
        <w:t>以“我是马克思主义者”系列活动为牵引，全面提升政治建设水平。通过认真落实校委会“第一议题”、理论中心组学习、党支部“三会一课”等制度，健全机关党建责任制，贯彻新时代党的组织路线，压实支部建设主体责任，开展支部党建工作考核评分，建成了现代化、智能化、简约化党建阵地。</w:t>
      </w:r>
    </w:p>
    <w:p>
      <w:pPr>
        <w:ind w:firstLine="643"/>
      </w:pPr>
      <w:r>
        <w:rPr>
          <w:rFonts w:hint="eastAsia"/>
          <w:b/>
          <w:bCs/>
        </w:rPr>
        <w:t>八是</w:t>
      </w:r>
      <w:r>
        <w:rPr>
          <w:rFonts w:hint="eastAsia"/>
        </w:rPr>
        <w:t>以办学质量评估为契机，全面提升质量立校水平。严格对照省委组织部、省委党校印发的质量评估办法各项指标，以评促改、以评促优、以评促建，实现教学培训、科研咨政、人才建设、智慧校园等方面全面进步、全面过硬。</w:t>
      </w:r>
    </w:p>
    <w:p>
      <w:pPr>
        <w:ind w:firstLine="643"/>
      </w:pPr>
      <w:r>
        <w:rPr>
          <w:rFonts w:hint="eastAsia"/>
          <w:b/>
          <w:bCs/>
        </w:rPr>
        <w:t>九是</w:t>
      </w:r>
      <w:r>
        <w:rPr>
          <w:rFonts w:hint="eastAsia"/>
        </w:rPr>
        <w:t>以落实意识形态工作责任制为重点，全面提升从严治校水平。通过严格落实意识形态工作责任制，牢固树立抓意识形态工作是本职、不抓是失职、抓不好是渎职的理念，落实各部门“一岗双责”，完善相关制度规定，做到阵地没有例外、人员没有例外、部门没有例外。严格学员学习管理、组织管理、生活管理，严格执行学籍、考勤、请销假等制度。</w:t>
      </w:r>
    </w:p>
    <w:p>
      <w:pPr>
        <w:pStyle w:val="5"/>
        <w:jc w:val="both"/>
        <w:rPr>
          <w:lang w:eastAsia="zh-Hans"/>
        </w:rPr>
      </w:pPr>
      <w:r>
        <w:rPr>
          <w:rFonts w:hint="eastAsia"/>
        </w:rPr>
        <w:t>（3）</w:t>
      </w:r>
      <w:r>
        <w:rPr>
          <w:lang w:eastAsia="zh-Hans"/>
        </w:rPr>
        <w:t>项目完成及时情况</w:t>
      </w:r>
    </w:p>
    <w:p>
      <w:pPr>
        <w:rPr>
          <w:rFonts w:ascii="Times New Roman Regular" w:hAnsi="Times New Roman Regular" w:cs="Times New Roman Regular"/>
          <w:color w:val="FF0000"/>
        </w:rPr>
      </w:pPr>
      <w:r>
        <w:rPr>
          <w:rFonts w:hint="eastAsia"/>
        </w:rPr>
        <w:t>截止至2021年12月31日，校本级共安排项目支出预算12,713.47万元，全年共支出9,494.38万元，项目支出预算完成率74.68%。部门预算安排项目基本按照计划进度完成。</w:t>
      </w:r>
    </w:p>
    <w:p>
      <w:pPr>
        <w:pStyle w:val="4"/>
        <w:numPr>
          <w:ilvl w:val="0"/>
          <w:numId w:val="0"/>
        </w:numPr>
        <w:ind w:left="640" w:leftChars="200"/>
        <w:rPr>
          <w:lang w:eastAsia="zh-Hans"/>
        </w:rPr>
      </w:pPr>
      <w:r>
        <w:rPr>
          <w:lang w:eastAsia="zh-Hans"/>
        </w:rPr>
        <w:t>3.效果性</w:t>
      </w:r>
    </w:p>
    <w:p>
      <w:pPr>
        <w:pStyle w:val="5"/>
        <w:jc w:val="both"/>
      </w:pPr>
      <w:r>
        <w:rPr>
          <w:lang w:eastAsia="zh-Hans"/>
        </w:rPr>
        <w:t>（1）社会效益方面</w:t>
      </w:r>
    </w:p>
    <w:p>
      <w:pPr>
        <w:ind w:firstLine="643"/>
        <w:rPr>
          <w:lang w:eastAsia="zh-Hans"/>
        </w:rPr>
      </w:pPr>
      <w:r>
        <w:rPr>
          <w:rFonts w:hint="eastAsia"/>
          <w:b/>
          <w:bCs/>
        </w:rPr>
        <w:t>一是</w:t>
      </w:r>
      <w:r>
        <w:rPr>
          <w:rFonts w:hint="eastAsia"/>
        </w:rPr>
        <w:t>有效推进</w:t>
      </w:r>
      <w:r>
        <w:rPr>
          <w:lang w:eastAsia="zh-Hans"/>
        </w:rPr>
        <w:t>教学管理精细化</w:t>
      </w:r>
      <w:r>
        <w:rPr>
          <w:rFonts w:hint="eastAsia"/>
        </w:rPr>
        <w:t>。目前，党的理论武装和党性教育占比达83%、特色教学占比达80%、高端师资占比达77%、中小班次占比达79%，学员对党校培训的“满意率”为100%，其中“很满意率”实现“四年连增”达到92.31％。围绕“新时代干部培训模式改革”主题，对市区两级党校中青年骨干进行点名调训，坚持学员需求与组织需求双向互动，打破课程设置、教学方式、培训时间、考核评价的传统模式，设置观摩学习、互动设计、自主研学、成果设计、实战演练五个阶段，探索建立供需联动的双向赋能培训机制。</w:t>
      </w:r>
    </w:p>
    <w:p>
      <w:pPr>
        <w:ind w:firstLine="643"/>
      </w:pPr>
      <w:r>
        <w:rPr>
          <w:rFonts w:hint="eastAsia"/>
          <w:b/>
          <w:bCs/>
        </w:rPr>
        <w:t>二是</w:t>
      </w:r>
      <w:r>
        <w:rPr>
          <w:rFonts w:hint="eastAsia"/>
        </w:rPr>
        <w:t>有效提高</w:t>
      </w:r>
      <w:r>
        <w:rPr>
          <w:lang w:eastAsia="zh-Hans"/>
        </w:rPr>
        <w:t>干部技能水平</w:t>
      </w:r>
      <w:r>
        <w:rPr>
          <w:rFonts w:hint="eastAsia"/>
        </w:rPr>
        <w:t>。校本级2021年开展为期一年的党建专题全员培训，做到培训</w:t>
      </w:r>
      <w:r>
        <w:rPr>
          <w:rFonts w:hint="eastAsia"/>
          <w:spacing w:val="14"/>
        </w:rPr>
        <w:t>全程不脱产，边工作边学习，引导党校教职员工自觉学习马克思主义经典著作，培训结果与教研人员岗位聘用、参公人员评优评先挂钩。</w:t>
      </w:r>
    </w:p>
    <w:p>
      <w:pPr>
        <w:pStyle w:val="5"/>
        <w:jc w:val="both"/>
        <w:rPr>
          <w:lang w:eastAsia="zh-Hans"/>
        </w:rPr>
      </w:pPr>
      <w:r>
        <w:t>（</w:t>
      </w:r>
      <w:r>
        <w:rPr>
          <w:rFonts w:hint="eastAsia"/>
        </w:rPr>
        <w:t>2</w:t>
      </w:r>
      <w:r>
        <w:t>）</w:t>
      </w:r>
      <w:r>
        <w:rPr>
          <w:lang w:eastAsia="zh-Hans"/>
        </w:rPr>
        <w:t>可持续影响方面</w:t>
      </w:r>
    </w:p>
    <w:p>
      <w:pPr>
        <w:ind w:firstLine="698"/>
        <w:rPr>
          <w:lang w:eastAsia="zh-Hans"/>
        </w:rPr>
      </w:pPr>
      <w:r>
        <w:rPr>
          <w:rFonts w:hint="eastAsia"/>
          <w:b/>
          <w:bCs/>
          <w:spacing w:val="14"/>
        </w:rPr>
        <w:t>一是</w:t>
      </w:r>
      <w:r>
        <w:rPr>
          <w:rFonts w:hint="eastAsia"/>
          <w:spacing w:val="14"/>
        </w:rPr>
        <w:t>坚持深化改革创新。首创举办广深两地中青班，采取“理论学习+平台锻炼+疫情防控”三站联程培训模式，搭建广深两地中青年干部互学互鉴、比翼双飞的交流平台。提高“四史”课程比重，优化打造“习近平总书记关于学习党史的重要论述”等53门课程，开发宝安县“一大”旧址等系列“四史”教育示范课程。</w:t>
      </w:r>
    </w:p>
    <w:p>
      <w:pPr>
        <w:ind w:firstLine="643"/>
      </w:pPr>
      <w:r>
        <w:rPr>
          <w:rFonts w:hint="eastAsia"/>
          <w:b/>
          <w:bCs/>
        </w:rPr>
        <w:t>二是</w:t>
      </w:r>
      <w:r>
        <w:rPr>
          <w:rFonts w:hint="eastAsia"/>
        </w:rPr>
        <w:t>部署实施“我是马克思主义者”三年行动。围绕“学、悟、信、讲、育、行”等六个环节，组织开展“马克思主义在深圳”深调研、“我的马克思主义信仰之路”思享会等100多场具体活动，鲜明地亮出“我是马克思主义者”这一共产党员的精神标识。编印马克思主义理论、中国共产党党史“双100”好书，学员创作《我们是坚定的马克思主义者》等有关班歌31首，全面锻造新时代马克思主义者。</w:t>
      </w:r>
    </w:p>
    <w:p>
      <w:pPr>
        <w:pStyle w:val="4"/>
        <w:numPr>
          <w:ilvl w:val="0"/>
          <w:numId w:val="0"/>
        </w:numPr>
        <w:ind w:left="640" w:leftChars="200"/>
        <w:rPr>
          <w:lang w:eastAsia="zh-Hans"/>
        </w:rPr>
      </w:pPr>
      <w:r>
        <w:rPr>
          <w:lang w:eastAsia="zh-Hans"/>
        </w:rPr>
        <w:t>4.公平性</w:t>
      </w:r>
    </w:p>
    <w:p>
      <w:pPr>
        <w:pStyle w:val="5"/>
        <w:jc w:val="both"/>
        <w:rPr>
          <w:lang w:eastAsia="zh-Hans"/>
        </w:rPr>
      </w:pPr>
      <w:r>
        <w:rPr>
          <w:lang w:eastAsia="zh-Hans"/>
        </w:rPr>
        <w:t>（1）群众信访办理情况</w:t>
      </w:r>
    </w:p>
    <w:p>
      <w:pPr>
        <w:rPr>
          <w:rFonts w:ascii="Times New Roman Regular" w:hAnsi="Times New Roman Regular" w:cs="Times New Roman Regular"/>
          <w:color w:val="FF0000"/>
        </w:rPr>
      </w:pPr>
      <w:r>
        <w:rPr>
          <w:rFonts w:hint="eastAsia" w:hAnsi="宋体" w:cs="宋体"/>
          <w:kern w:val="0"/>
        </w:rPr>
        <w:t>校本级建立健全了群众意见反映渠道和群众意见办理回复机制。2021年度截止12月31日，校本级未</w:t>
      </w:r>
      <w:r>
        <w:rPr>
          <w:rFonts w:hint="eastAsia"/>
        </w:rPr>
        <w:t>收到群众信访事件，且未收到任何投诉，群众办理情况达到考核标准。</w:t>
      </w:r>
    </w:p>
    <w:p>
      <w:pPr>
        <w:pStyle w:val="5"/>
        <w:jc w:val="both"/>
        <w:rPr>
          <w:lang w:eastAsia="zh-Hans"/>
        </w:rPr>
      </w:pPr>
      <w:r>
        <w:rPr>
          <w:rFonts w:hint="eastAsia"/>
        </w:rPr>
        <w:t>（2）</w:t>
      </w:r>
      <w:r>
        <w:rPr>
          <w:lang w:eastAsia="zh-Hans"/>
        </w:rPr>
        <w:t>公众或服务对象满意度</w:t>
      </w:r>
    </w:p>
    <w:p>
      <w:pPr>
        <w:rPr>
          <w:rFonts w:ascii="Times New Roman Regular" w:hAnsi="Times New Roman Regular" w:cs="Times New Roman Regular"/>
          <w:color w:val="FF0000"/>
        </w:rPr>
      </w:pPr>
      <w:r>
        <w:t>2021</w:t>
      </w:r>
      <w:r>
        <w:rPr>
          <w:rFonts w:hint="eastAsia"/>
        </w:rPr>
        <w:t>年</w:t>
      </w:r>
      <w:r>
        <w:t>培训班综合评估满意率分析</w:t>
      </w:r>
      <w:r>
        <w:rPr>
          <w:rFonts w:hint="eastAsia"/>
        </w:rPr>
        <w:t>，对5</w:t>
      </w:r>
      <w:r>
        <w:t>7</w:t>
      </w:r>
      <w:r>
        <w:rPr>
          <w:rFonts w:hint="eastAsia"/>
        </w:rPr>
        <w:t>个班级的学员进行满意度调查，调查结果都为满意或很满意，满意度达到</w:t>
      </w:r>
      <w:r>
        <w:t>100</w:t>
      </w:r>
      <w:r>
        <w:rPr>
          <w:rFonts w:hint="eastAsia"/>
        </w:rPr>
        <w:t>%。</w:t>
      </w:r>
    </w:p>
    <w:p>
      <w:pPr>
        <w:pStyle w:val="3"/>
        <w:numPr>
          <w:ilvl w:val="0"/>
          <w:numId w:val="0"/>
        </w:numPr>
        <w:ind w:left="640" w:leftChars="200"/>
        <w:jc w:val="both"/>
      </w:pPr>
      <w:r>
        <w:t>三、总体评价和整改措施</w:t>
      </w:r>
    </w:p>
    <w:p>
      <w:pPr>
        <w:pStyle w:val="2"/>
        <w:ind w:firstLine="640"/>
      </w:pPr>
      <w:r>
        <w:t>（</w:t>
      </w:r>
      <w:r>
        <w:rPr>
          <w:rFonts w:hint="eastAsia"/>
          <w:lang w:eastAsia="zh-Hans"/>
        </w:rPr>
        <w:t>一</w:t>
      </w:r>
      <w:r>
        <w:t>）预算绩效管理工作主要经验、做法</w:t>
      </w:r>
    </w:p>
    <w:p>
      <w:r>
        <w:rPr>
          <w:rFonts w:hint="eastAsia"/>
        </w:rPr>
        <w:t>根据《中共中央 国务院关于全面实施预算绩效管理的意见》（中发〔2018〕34号）《深圳市财政局关于贯彻落实全面实施预算绩效管理有关事项的通知》（深财绩〔2019〕5号）《深圳市财政局关于做好市本级2021年预算绩效管理工作的通知》（深财绩〔2021〕1号）等文件规定，校本级积极开展预算绩效管理工作，主要经验与做法如下：</w:t>
      </w:r>
    </w:p>
    <w:p>
      <w:pPr>
        <w:pStyle w:val="4"/>
        <w:numPr>
          <w:ilvl w:val="0"/>
          <w:numId w:val="0"/>
        </w:numPr>
        <w:ind w:left="640" w:leftChars="200"/>
      </w:pPr>
      <w:r>
        <w:rPr>
          <w:rFonts w:hint="eastAsia"/>
        </w:rPr>
        <w:t>1.认真落实全流程预算绩效管理工作</w:t>
      </w:r>
    </w:p>
    <w:p>
      <w:pPr>
        <w:spacing w:line="560" w:lineRule="exact"/>
        <w:ind w:firstLine="643"/>
      </w:pPr>
      <w:r>
        <w:rPr>
          <w:rFonts w:hint="eastAsia"/>
          <w:b/>
          <w:bCs/>
        </w:rPr>
        <w:t>一是</w:t>
      </w:r>
      <w:r>
        <w:rPr>
          <w:rFonts w:hint="eastAsia"/>
        </w:rPr>
        <w:t>加强组织领导，明确预算绩效管理责任部门，制订专人负责，强化组织保障。</w:t>
      </w:r>
    </w:p>
    <w:p>
      <w:pPr>
        <w:spacing w:line="560" w:lineRule="exact"/>
        <w:ind w:firstLine="643"/>
      </w:pPr>
      <w:r>
        <w:rPr>
          <w:rFonts w:hint="eastAsia"/>
          <w:b/>
          <w:bCs/>
        </w:rPr>
        <w:t>二是</w:t>
      </w:r>
      <w:r>
        <w:rPr>
          <w:rFonts w:hint="eastAsia"/>
        </w:rPr>
        <w:t>从预算编制环节开始突出绩效导向，“突出重点、合力推进”，围绕校本级工作要求，从源头上提高预算编制的科学性和精准性，同时按照“谁支出、谁负责”的原则编制绩效目标。</w:t>
      </w:r>
    </w:p>
    <w:p>
      <w:pPr>
        <w:spacing w:line="560" w:lineRule="exact"/>
        <w:ind w:firstLine="643"/>
      </w:pPr>
      <w:r>
        <w:rPr>
          <w:rFonts w:hint="eastAsia"/>
          <w:b/>
          <w:bCs/>
        </w:rPr>
        <w:t>三是</w:t>
      </w:r>
      <w:r>
        <w:rPr>
          <w:rFonts w:hint="eastAsia"/>
        </w:rPr>
        <w:t>加强预算执行环节绩效监控，按年初绩效目标申报的有关规则和要求，实现预算绩效目标和预算执行全程“双监控”，对于绩效监控过程发现的问题及时纠偏并采取整改措施，确保了绩效目标如期实现。</w:t>
      </w:r>
    </w:p>
    <w:p>
      <w:pPr>
        <w:spacing w:line="560" w:lineRule="exact"/>
        <w:ind w:firstLine="643"/>
      </w:pPr>
      <w:r>
        <w:rPr>
          <w:rFonts w:hint="eastAsia"/>
          <w:b/>
          <w:bCs/>
        </w:rPr>
        <w:t>四是</w:t>
      </w:r>
      <w:r>
        <w:rPr>
          <w:rFonts w:hint="eastAsia"/>
        </w:rPr>
        <w:t>强化绩效结果刚性约束，建立绩效评价结果与预算决策挂钩机制，做到“有效要安排、低效要减压、无效要问责”，并按照奖优罚劣的原则，对绩效好的政策和项目原则上优先保障。</w:t>
      </w:r>
    </w:p>
    <w:p>
      <w:pPr>
        <w:pStyle w:val="4"/>
        <w:numPr>
          <w:ilvl w:val="0"/>
          <w:numId w:val="0"/>
        </w:numPr>
        <w:ind w:left="640" w:leftChars="200"/>
      </w:pPr>
      <w:r>
        <w:rPr>
          <w:rFonts w:hint="eastAsia"/>
        </w:rPr>
        <w:t>2.加强内控建设</w:t>
      </w:r>
    </w:p>
    <w:p>
      <w:pPr>
        <w:spacing w:line="560" w:lineRule="exact"/>
        <w:rPr>
          <w:rFonts w:ascii="Times New Roman Regular" w:hAnsi="Times New Roman Regular" w:cs="Times New Roman Regular"/>
          <w:color w:val="FF0000"/>
        </w:rPr>
      </w:pPr>
      <w:r>
        <w:rPr>
          <w:rFonts w:hint="eastAsia"/>
        </w:rPr>
        <w:t>为提升绩效管理水平，校本级不断加强自身内控建设，规范主要经济业务控制的工作流程，将涉及预算、收支、采购、合同、资产等相关模块的实施程序进行明确，同时明确了各个流程中的责任主体，对单位层面和业务层面现有的工作制度进行全面梳理，建立了较为完备的内部控制制度体系。</w:t>
      </w:r>
    </w:p>
    <w:p>
      <w:pPr>
        <w:pStyle w:val="2"/>
        <w:ind w:firstLine="640"/>
      </w:pPr>
      <w:r>
        <w:t>（</w:t>
      </w:r>
      <w:r>
        <w:rPr>
          <w:rFonts w:hint="eastAsia"/>
          <w:lang w:eastAsia="zh-Hans"/>
        </w:rPr>
        <w:t>二</w:t>
      </w:r>
      <w:r>
        <w:t>）部门整体支出绩效存在问题及改进措施</w:t>
      </w:r>
    </w:p>
    <w:p>
      <w:pPr>
        <w:pStyle w:val="4"/>
        <w:numPr>
          <w:ilvl w:val="0"/>
          <w:numId w:val="0"/>
        </w:numPr>
        <w:ind w:left="640" w:leftChars="200"/>
        <w:rPr>
          <w:lang w:eastAsia="zh-Hans"/>
        </w:rPr>
      </w:pPr>
      <w:r>
        <w:rPr>
          <w:lang w:eastAsia="zh-Hans"/>
        </w:rPr>
        <w:t>1.存在问题</w:t>
      </w:r>
    </w:p>
    <w:p>
      <w:pPr>
        <w:pStyle w:val="5"/>
      </w:pPr>
      <w:r>
        <w:rPr>
          <w:rFonts w:hint="eastAsia"/>
        </w:rPr>
        <w:t>（1）</w:t>
      </w:r>
      <w:r>
        <w:t>预算季度规划有待完善</w:t>
      </w:r>
    </w:p>
    <w:p>
      <w:pPr>
        <w:rPr>
          <w:rFonts w:ascii="Times New Roman Regular" w:hAnsi="Times New Roman Regular" w:cs="Times New Roman Regular"/>
          <w:color w:val="FF0000"/>
        </w:rPr>
      </w:pPr>
      <w:r>
        <w:rPr>
          <w:rFonts w:hint="eastAsia"/>
        </w:rPr>
        <w:t>根据2021年度预算指标执行情况表及每月预算执行情况分析，校本级</w:t>
      </w:r>
      <w:r>
        <w:t>一季度预算执行率为</w:t>
      </w:r>
      <w:r>
        <w:rPr>
          <w:rFonts w:hint="eastAsia"/>
        </w:rPr>
        <w:t>108.47</w:t>
      </w:r>
      <w:r>
        <w:t>%，二季度预算执行率为</w:t>
      </w:r>
      <w:r>
        <w:rPr>
          <w:rFonts w:hint="eastAsia"/>
        </w:rPr>
        <w:t>93.14</w:t>
      </w:r>
      <w:r>
        <w:t>%，三季度预算执行率为</w:t>
      </w:r>
      <w:r>
        <w:rPr>
          <w:rFonts w:hint="eastAsia"/>
        </w:rPr>
        <w:t>84.79</w:t>
      </w:r>
      <w:r>
        <w:t>%，四季度预算执行率为</w:t>
      </w:r>
      <w:r>
        <w:rPr>
          <w:rFonts w:hint="eastAsia"/>
        </w:rPr>
        <w:t>90.03</w:t>
      </w:r>
      <w:r>
        <w:t>%，全年平均执行率为9</w:t>
      </w:r>
      <w:r>
        <w:rPr>
          <w:rFonts w:hint="eastAsia"/>
        </w:rPr>
        <w:t>4.11</w:t>
      </w:r>
      <w:r>
        <w:t>%。</w:t>
      </w:r>
      <w:r>
        <w:rPr>
          <w:rFonts w:hint="eastAsia"/>
        </w:rPr>
        <w:t>由于疫情原因导致部分培训工作无法按照预期计划开展，</w:t>
      </w:r>
      <w:r>
        <w:t>部门预算实际支付进度和既定支付进度的匹配情况需进一步完善</w:t>
      </w:r>
      <w:r>
        <w:rPr>
          <w:rFonts w:hint="eastAsia"/>
        </w:rPr>
        <w:t>，</w:t>
      </w:r>
      <w:r>
        <w:t>根据评分标准</w:t>
      </w:r>
      <w:r>
        <w:rPr>
          <w:rFonts w:hint="eastAsia"/>
        </w:rPr>
        <w:t>，</w:t>
      </w:r>
      <w:r>
        <w:t>此项扣</w:t>
      </w:r>
      <w:r>
        <w:rPr>
          <w:rFonts w:hint="eastAsia"/>
        </w:rPr>
        <w:t>0.44</w:t>
      </w:r>
      <w:r>
        <w:t>分。</w:t>
      </w:r>
    </w:p>
    <w:p>
      <w:pPr>
        <w:pStyle w:val="5"/>
      </w:pPr>
      <w:r>
        <w:t>（2）政府采购执行率有待完善</w:t>
      </w:r>
    </w:p>
    <w:p>
      <w:r>
        <w:rPr>
          <w:rFonts w:hint="eastAsia"/>
        </w:rPr>
        <w:t>校本级</w:t>
      </w:r>
      <w:r>
        <w:t>政府采购预算数2,</w:t>
      </w:r>
      <w:r>
        <w:rPr>
          <w:rFonts w:hint="eastAsia"/>
        </w:rPr>
        <w:t>382.95</w:t>
      </w:r>
      <w:r>
        <w:t>万元，实际支出数</w:t>
      </w:r>
      <w:r>
        <w:rPr>
          <w:rFonts w:hint="eastAsia"/>
        </w:rPr>
        <w:t>2</w:t>
      </w:r>
      <w:r>
        <w:t>,</w:t>
      </w:r>
      <w:r>
        <w:rPr>
          <w:rFonts w:hint="eastAsia"/>
        </w:rPr>
        <w:t>095.21</w:t>
      </w:r>
      <w:r>
        <w:t>万元，政府采购执行率为</w:t>
      </w:r>
      <w:r>
        <w:rPr>
          <w:rFonts w:hint="eastAsia"/>
        </w:rPr>
        <w:t>87.92</w:t>
      </w:r>
      <w:r>
        <w:t>%，根据部门整体支出绩效评价标准</w:t>
      </w:r>
      <w:r>
        <w:rPr>
          <w:rFonts w:hint="eastAsia"/>
        </w:rPr>
        <w:t>，</w:t>
      </w:r>
      <w:r>
        <w:t>根据评分标准，故此项扣0.</w:t>
      </w:r>
      <w:r>
        <w:rPr>
          <w:rFonts w:hint="eastAsia"/>
        </w:rPr>
        <w:t>12</w:t>
      </w:r>
      <w:r>
        <w:t>分。</w:t>
      </w:r>
    </w:p>
    <w:p>
      <w:pPr>
        <w:pStyle w:val="5"/>
      </w:pPr>
      <w:r>
        <w:t>（3）公用经费控制率有待提高</w:t>
      </w:r>
    </w:p>
    <w:p>
      <w:r>
        <w:rPr>
          <w:rFonts w:hint="eastAsia"/>
        </w:rPr>
        <w:t>校本级“三公”经费年初预算安排数为10万元，“三公”经费实际支出数为9.13万元，“三公”经费控制率为91.3%，</w:t>
      </w:r>
      <w:r>
        <w:t>根据评分标准，故此项扣</w:t>
      </w:r>
      <w:r>
        <w:rPr>
          <w:rFonts w:hint="eastAsia"/>
        </w:rPr>
        <w:t>1</w:t>
      </w:r>
      <w:r>
        <w:t>分。</w:t>
      </w:r>
    </w:p>
    <w:p>
      <w:r>
        <w:t>日常公用经费预算调整数为1,</w:t>
      </w:r>
      <w:r>
        <w:rPr>
          <w:rFonts w:hint="eastAsia"/>
        </w:rPr>
        <w:t>741.19</w:t>
      </w:r>
      <w:r>
        <w:t>万元</w:t>
      </w:r>
      <w:r>
        <w:rPr>
          <w:rFonts w:hint="eastAsia"/>
        </w:rPr>
        <w:t>，</w:t>
      </w:r>
      <w:r>
        <w:t>日常公用经费决算数1,</w:t>
      </w:r>
      <w:r>
        <w:rPr>
          <w:rFonts w:hint="eastAsia"/>
        </w:rPr>
        <w:t>698.55</w:t>
      </w:r>
      <w:r>
        <w:t>万元</w:t>
      </w:r>
      <w:r>
        <w:rPr>
          <w:rFonts w:hint="eastAsia"/>
        </w:rPr>
        <w:t>，</w:t>
      </w:r>
      <w:r>
        <w:t>日常公用经费控制率</w:t>
      </w:r>
      <w:r>
        <w:rPr>
          <w:rFonts w:hint="eastAsia"/>
        </w:rPr>
        <w:t>为</w:t>
      </w:r>
      <w:r>
        <w:t>9</w:t>
      </w:r>
      <w:r>
        <w:rPr>
          <w:rFonts w:hint="eastAsia"/>
        </w:rPr>
        <w:t>7.55</w:t>
      </w:r>
      <w:r>
        <w:t>%</w:t>
      </w:r>
      <w:r>
        <w:rPr>
          <w:rFonts w:hint="eastAsia"/>
        </w:rPr>
        <w:t>，</w:t>
      </w:r>
      <w:r>
        <w:t>根据评分标准，故此项扣</w:t>
      </w:r>
      <w:r>
        <w:rPr>
          <w:rFonts w:hint="eastAsia"/>
        </w:rPr>
        <w:t>1</w:t>
      </w:r>
      <w:r>
        <w:t>分。</w:t>
      </w:r>
    </w:p>
    <w:p>
      <w:pPr>
        <w:pStyle w:val="4"/>
        <w:numPr>
          <w:ilvl w:val="0"/>
          <w:numId w:val="0"/>
        </w:numPr>
        <w:ind w:left="640" w:leftChars="200"/>
        <w:rPr>
          <w:lang w:eastAsia="zh-Hans"/>
        </w:rPr>
      </w:pPr>
      <w:r>
        <w:rPr>
          <w:lang w:eastAsia="zh-Hans"/>
        </w:rPr>
        <w:t>2.改进建议</w:t>
      </w:r>
    </w:p>
    <w:p>
      <w:pPr>
        <w:pStyle w:val="5"/>
      </w:pPr>
      <w:r>
        <w:t>（1）完善季度支出规划，提高预算序时执行率</w:t>
      </w:r>
    </w:p>
    <w:p>
      <w:r>
        <w:t>在效率性上，因202</w:t>
      </w:r>
      <w:r>
        <w:rPr>
          <w:rFonts w:hint="eastAsia"/>
        </w:rPr>
        <w:t>1</w:t>
      </w:r>
      <w:r>
        <w:t>年度预算执行完毕，无法对上述问题进行追溯整改，</w:t>
      </w:r>
      <w:r>
        <w:rPr>
          <w:rFonts w:hint="eastAsia"/>
        </w:rPr>
        <w:t>校本级</w:t>
      </w:r>
      <w:r>
        <w:t>将在202</w:t>
      </w:r>
      <w:r>
        <w:rPr>
          <w:rFonts w:hint="eastAsia"/>
        </w:rPr>
        <w:t>2</w:t>
      </w:r>
      <w:r>
        <w:t>年度预算编报、执行方面加强工作人员培训和学习管理，提高预算管理能力，在日后的工作中完善季度预算支出规划，提高预算执行率。</w:t>
      </w:r>
    </w:p>
    <w:p>
      <w:pPr>
        <w:pStyle w:val="5"/>
      </w:pPr>
      <w:r>
        <w:t>（2）加强部门管理，提高政府采购执行率</w:t>
      </w:r>
    </w:p>
    <w:p>
      <w:r>
        <w:t>根据部门整体支出绩效评价标准，政府采购率等于100%得满分</w:t>
      </w:r>
      <w:r>
        <w:rPr>
          <w:rFonts w:hint="eastAsia"/>
        </w:rPr>
        <w:t>。</w:t>
      </w:r>
      <w:r>
        <w:t>202</w:t>
      </w:r>
      <w:r>
        <w:rPr>
          <w:rFonts w:hint="eastAsia"/>
        </w:rPr>
        <w:t>1</w:t>
      </w:r>
      <w:r>
        <w:t>年，</w:t>
      </w:r>
      <w:r>
        <w:rPr>
          <w:rFonts w:hint="eastAsia"/>
        </w:rPr>
        <w:t>校本级</w:t>
      </w:r>
      <w:r>
        <w:t>政府采购执行率为</w:t>
      </w:r>
      <w:r>
        <w:rPr>
          <w:rFonts w:hint="eastAsia"/>
        </w:rPr>
        <w:t>87.92</w:t>
      </w:r>
      <w:r>
        <w:t>%，尚有改进的空间，</w:t>
      </w:r>
      <w:r>
        <w:rPr>
          <w:rFonts w:hint="eastAsia"/>
        </w:rPr>
        <w:t>建议在日后的工作中根据实际履职需要，合理制定政府采购计划，并严格按计划进行政府采购工作</w:t>
      </w:r>
      <w:r>
        <w:t>。</w:t>
      </w:r>
    </w:p>
    <w:p>
      <w:pPr>
        <w:pStyle w:val="5"/>
      </w:pPr>
      <w:r>
        <w:t>（3）提高预算绩效的经济性，降低日常公用经费的控制率</w:t>
      </w:r>
    </w:p>
    <w:p>
      <w:r>
        <w:t>根据部门整体支出绩效评价标准，</w:t>
      </w:r>
      <w:r>
        <w:rPr>
          <w:rFonts w:hint="eastAsia"/>
        </w:rPr>
        <w:t>“三公”经费控制率、</w:t>
      </w:r>
      <w:r>
        <w:t>日常公用经费控制率小于90%得满分</w:t>
      </w:r>
      <w:r>
        <w:rPr>
          <w:rFonts w:hint="eastAsia"/>
        </w:rPr>
        <w:t>。</w:t>
      </w:r>
      <w:r>
        <w:t>202</w:t>
      </w:r>
      <w:r>
        <w:rPr>
          <w:rFonts w:hint="eastAsia"/>
        </w:rPr>
        <w:t>1</w:t>
      </w:r>
      <w:r>
        <w:t>年，</w:t>
      </w:r>
      <w:r>
        <w:rPr>
          <w:rFonts w:hint="eastAsia"/>
        </w:rPr>
        <w:t>“三公”经费控制率为91.3%、校本级</w:t>
      </w:r>
      <w:r>
        <w:t>日常公用经费控制率为9</w:t>
      </w:r>
      <w:r>
        <w:rPr>
          <w:rFonts w:hint="eastAsia"/>
        </w:rPr>
        <w:t>7.55</w:t>
      </w:r>
      <w:r>
        <w:t>%，尚有改进的空间，建议压控并举，深挖资金潜力，严格控制综合定额经费、水电费、物业管理费、车辆运行维护费等公用经费。</w:t>
      </w:r>
    </w:p>
    <w:p>
      <w:pPr>
        <w:pStyle w:val="2"/>
        <w:ind w:firstLine="640"/>
      </w:pPr>
      <w:r>
        <w:t>（</w:t>
      </w:r>
      <w:r>
        <w:rPr>
          <w:rFonts w:hint="eastAsia"/>
          <w:lang w:eastAsia="zh-Hans"/>
        </w:rPr>
        <w:t>三</w:t>
      </w:r>
      <w:r>
        <w:t>）后续工作计划、相关建议等</w:t>
      </w:r>
    </w:p>
    <w:p>
      <w:pPr>
        <w:pStyle w:val="4"/>
        <w:numPr>
          <w:ilvl w:val="0"/>
          <w:numId w:val="0"/>
        </w:numPr>
        <w:ind w:firstLine="643" w:firstLineChars="200"/>
      </w:pPr>
      <w:r>
        <w:rPr>
          <w:rFonts w:hint="eastAsia"/>
        </w:rPr>
        <w:t>1.以迎接党的二十大</w:t>
      </w:r>
      <w:r>
        <w:rPr>
          <w:rFonts w:hint="eastAsia"/>
          <w:lang w:val="en-US" w:eastAsia="zh-CN"/>
        </w:rPr>
        <w:t>胜利</w:t>
      </w:r>
      <w:r>
        <w:rPr>
          <w:rFonts w:hint="eastAsia"/>
        </w:rPr>
        <w:t>召开为主题主线，深入实施“铸魂赋能”工程</w:t>
      </w:r>
    </w:p>
    <w:p>
      <w:pPr>
        <w:ind w:firstLine="696"/>
      </w:pPr>
      <w:r>
        <w:rPr>
          <w:rFonts w:hint="eastAsia"/>
          <w:spacing w:val="14"/>
        </w:rPr>
        <w:t>围绕党的创新理论、党的十九届六中全会和党的二十大精神开发新课、开展培训、组织基层宣讲，引导党员干部坚定捍卫“两个确立”、坚决做到“两个维护”。高质量办好“一把手”政治能力提升研修班、广深两地中青班等各类培训轮训班，不断提高党员干部的政治能力、战略眼光、专业水平。</w:t>
      </w:r>
    </w:p>
    <w:p>
      <w:pPr>
        <w:pStyle w:val="4"/>
        <w:numPr>
          <w:ilvl w:val="0"/>
          <w:numId w:val="0"/>
        </w:numPr>
        <w:ind w:firstLine="643" w:firstLineChars="200"/>
      </w:pPr>
      <w:r>
        <w:rPr>
          <w:rFonts w:hint="eastAsia"/>
        </w:rPr>
        <w:t>2.引领变革时代的学习，提升党校培训的针对性和实效性</w:t>
      </w:r>
    </w:p>
    <w:p>
      <w:pPr>
        <w:ind w:firstLine="696"/>
      </w:pPr>
      <w:r>
        <w:rPr>
          <w:rFonts w:hint="eastAsia"/>
          <w:spacing w:val="14"/>
        </w:rPr>
        <w:t>持续深化“4个100”行动，进一步挖掘深圳实践案例，持续推出特色精品党课。不断优化“5+15+160+</w:t>
      </w:r>
      <w:r>
        <w:rPr>
          <w:rFonts w:ascii="Times New Roman" w:hAnsi="Times New Roman" w:cs="Times New Roman"/>
          <w:spacing w:val="14"/>
        </w:rPr>
        <w:t>N</w:t>
      </w:r>
      <w:r>
        <w:rPr>
          <w:rFonts w:hint="eastAsia"/>
          <w:spacing w:val="14"/>
        </w:rPr>
        <w:t>”课程体系，全力打造“双师赋能翻转课堂”，多推一批精品好课，高质量办好“知行学堂”。</w:t>
      </w:r>
    </w:p>
    <w:p>
      <w:pPr>
        <w:pStyle w:val="4"/>
        <w:numPr>
          <w:ilvl w:val="0"/>
          <w:numId w:val="0"/>
        </w:numPr>
        <w:ind w:firstLine="643" w:firstLineChars="200"/>
      </w:pPr>
      <w:r>
        <w:rPr>
          <w:rFonts w:hint="eastAsia"/>
        </w:rPr>
        <w:t>3.树立党校特色的学术导向，推进科研咨政高质量发展</w:t>
      </w:r>
    </w:p>
    <w:p>
      <w:pPr>
        <w:ind w:firstLine="696"/>
      </w:pPr>
      <w:r>
        <w:rPr>
          <w:rFonts w:hint="eastAsia"/>
          <w:spacing w:val="14"/>
        </w:rPr>
        <w:t>围绕党的创新理论、六中全会和党的二十大精神深化基础理论研究和政策解读，聚焦深圳“双区”建设等开展实践性、战略性研究，推出更多有价值的咨政建议。继续办好《先行示范区研究》、“香蜜湖智库”“香蜜湖论坛”等学术平台，加大研究中心人才队伍建设，持续推出“香蜜湖智库丛书”系列新书。</w:t>
      </w:r>
    </w:p>
    <w:p>
      <w:pPr>
        <w:pStyle w:val="4"/>
        <w:numPr>
          <w:ilvl w:val="0"/>
          <w:numId w:val="0"/>
        </w:numPr>
        <w:ind w:firstLine="643" w:firstLineChars="200"/>
      </w:pPr>
      <w:r>
        <w:rPr>
          <w:rFonts w:hint="eastAsia"/>
        </w:rPr>
        <w:t>4.用好“大课堂”打造“大党校”，构建干部教育培训新格局</w:t>
      </w:r>
    </w:p>
    <w:p>
      <w:pPr>
        <w:ind w:firstLine="696"/>
      </w:pPr>
      <w:r>
        <w:rPr>
          <w:rFonts w:hint="eastAsia"/>
          <w:spacing w:val="14"/>
        </w:rPr>
        <w:t>用深圳实践经典案例培训干部，积极协调有关职能部门把正在推进的改革事项、即将出台的创新政策纳入教学，用好“大课堂”。积极争取中央党校、省委党校的支持力度，深化市区街三级党校协同联动，积极与改革开放干部学院、高校以及香港公务员学院等合作交流，打造“大党校”。</w:t>
      </w:r>
    </w:p>
    <w:p>
      <w:pPr>
        <w:pStyle w:val="4"/>
        <w:numPr>
          <w:ilvl w:val="0"/>
          <w:numId w:val="0"/>
        </w:numPr>
        <w:ind w:left="640" w:leftChars="200"/>
      </w:pPr>
      <w:r>
        <w:rPr>
          <w:rFonts w:hint="eastAsia"/>
        </w:rPr>
        <w:t>5.以走在时代前列的自觉，全面加强自身建设</w:t>
      </w:r>
    </w:p>
    <w:p>
      <w:r>
        <w:t>建立党史学习教育常态化长效化制度机制，深入实施“我是马克思主义者”三年行动，办好党建专题全员培训班、干部培训模式改革试验班、博士后创新实践基地。严格落实意识形态工作责任制，牢固树立底线思维和安全意识。持续打造“三味校园”，完成校园文化长廊改造升级，加快推动基础设施改造升级和优化校园环境。</w:t>
      </w:r>
    </w:p>
    <w:p>
      <w:pPr>
        <w:pStyle w:val="3"/>
        <w:numPr>
          <w:ilvl w:val="0"/>
          <w:numId w:val="0"/>
        </w:numPr>
        <w:ind w:left="640" w:leftChars="200"/>
        <w:jc w:val="both"/>
      </w:pPr>
      <w:r>
        <w:t>四、部门整体支出绩效评价指标评分情况</w:t>
      </w:r>
    </w:p>
    <w:p>
      <w:pPr>
        <w:rPr>
          <w:rFonts w:ascii="Times New Roman Regular" w:hAnsi="Times New Roman Regular" w:cs="Times New Roman Regular"/>
        </w:rPr>
        <w:sectPr>
          <w:footerReference r:id="rId11" w:type="default"/>
          <w:pgSz w:w="11906" w:h="16838"/>
          <w:pgMar w:top="2098" w:right="1417" w:bottom="1417" w:left="1474" w:header="851" w:footer="992" w:gutter="0"/>
          <w:pgNumType w:start="1"/>
          <w:cols w:space="425" w:num="1"/>
          <w:docGrid w:type="lines" w:linePitch="312" w:charSpace="0"/>
        </w:sectPr>
      </w:pPr>
      <w:r>
        <w:rPr>
          <w:rFonts w:hint="eastAsia"/>
        </w:rPr>
        <w:t>我</w:t>
      </w:r>
      <w:r>
        <w:rPr>
          <w:rFonts w:hint="eastAsia"/>
          <w:lang w:eastAsia="zh-Hans"/>
        </w:rPr>
        <w:t>单位</w:t>
      </w:r>
      <w:r>
        <w:rPr>
          <w:rFonts w:hint="eastAsia"/>
        </w:rPr>
        <w:t>参照《2021</w:t>
      </w:r>
      <w:r>
        <w:rPr>
          <w:rFonts w:hint="eastAsia"/>
          <w:lang w:eastAsia="zh-Hans"/>
        </w:rPr>
        <w:t>年部门整体支出绩效评价共性指标体系框架</w:t>
      </w:r>
      <w:r>
        <w:rPr>
          <w:rFonts w:hint="eastAsia"/>
        </w:rPr>
        <w:t>》进行自评，此次绩效自评得分为9</w:t>
      </w:r>
      <w:r>
        <w:t>7</w:t>
      </w:r>
      <w:r>
        <w:rPr>
          <w:rFonts w:hint="eastAsia"/>
        </w:rPr>
        <w:t>.44分，</w:t>
      </w:r>
      <w:r>
        <w:rPr>
          <w:rFonts w:hint="eastAsia"/>
          <w:lang w:eastAsia="zh-Hans"/>
        </w:rPr>
        <w:t>整体评价为“</w:t>
      </w:r>
      <w:r>
        <w:rPr>
          <w:rFonts w:hint="eastAsia"/>
        </w:rPr>
        <w:t>优</w:t>
      </w:r>
      <w:r>
        <w:rPr>
          <w:rStyle w:val="16"/>
          <w:rFonts w:hint="eastAsia"/>
          <w:lang w:eastAsia="zh-Hans"/>
        </w:rPr>
        <w:footnoteReference w:id="0"/>
      </w:r>
      <w:r>
        <w:rPr>
          <w:rFonts w:hint="eastAsia"/>
          <w:lang w:eastAsia="zh-Hans"/>
        </w:rPr>
        <w:t>”，</w:t>
      </w:r>
      <w:r>
        <w:rPr>
          <w:rFonts w:hint="eastAsia"/>
        </w:rPr>
        <w:t>具体得分情况见</w:t>
      </w:r>
      <w:r>
        <w:rPr>
          <w:rFonts w:hint="eastAsia"/>
          <w:lang w:eastAsia="zh-Hans"/>
        </w:rPr>
        <w:t>附件一</w:t>
      </w:r>
      <w:r>
        <w:rPr>
          <w:rFonts w:ascii="Times New Roman Regular" w:hAnsi="Times New Roman Regular" w:cs="Times New Roman Regular"/>
        </w:rPr>
        <w:t>。</w:t>
      </w:r>
    </w:p>
    <w:p>
      <w:pPr>
        <w:ind w:firstLine="0" w:firstLineChars="0"/>
        <w:rPr>
          <w:rFonts w:ascii="Times New Roman Regular" w:hAnsi="Times New Roman Regular" w:eastAsia="黑体" w:cs="Times New Roman Regular"/>
        </w:rPr>
      </w:pPr>
      <w:r>
        <w:rPr>
          <w:rFonts w:ascii="Times New Roman Regular" w:hAnsi="Times New Roman Regular" w:eastAsia="黑体" w:cs="Times New Roman Regular"/>
        </w:rPr>
        <w:t>附件</w:t>
      </w:r>
      <w:r>
        <w:rPr>
          <w:rFonts w:ascii="Times New Roman Regular" w:hAnsi="Times New Roman Regular" w:eastAsia="黑体" w:cs="Times New Roman Regular"/>
          <w:lang w:eastAsia="zh-Hans"/>
        </w:rPr>
        <w:t>一</w:t>
      </w:r>
    </w:p>
    <w:p>
      <w:pPr>
        <w:tabs>
          <w:tab w:val="center" w:pos="6979"/>
        </w:tabs>
        <w:spacing w:line="560" w:lineRule="exact"/>
        <w:ind w:firstLine="0" w:firstLineChars="0"/>
        <w:rPr>
          <w:rFonts w:ascii="Times New Roman Regular" w:hAnsi="Times New Roman Regular" w:cs="Times New Roman Regular"/>
          <w:sz w:val="28"/>
          <w:szCs w:val="28"/>
        </w:rPr>
      </w:pPr>
      <w:r>
        <w:rPr>
          <w:rFonts w:ascii="Times New Roman Regular" w:hAnsi="Times New Roman Regular" w:eastAsia="方正小标宋简体" w:cs="Times New Roman Regular"/>
          <w:sz w:val="30"/>
          <w:szCs w:val="30"/>
        </w:rPr>
        <w:t>部门整体支出绩效评价共性指标体系框架</w:t>
      </w:r>
    </w:p>
    <w:tbl>
      <w:tblPr>
        <w:tblStyle w:val="12"/>
        <w:tblW w:w="0" w:type="auto"/>
        <w:tblInd w:w="0" w:type="dxa"/>
        <w:tblLayout w:type="autofit"/>
        <w:tblCellMar>
          <w:top w:w="0" w:type="dxa"/>
          <w:left w:w="108" w:type="dxa"/>
          <w:bottom w:w="0" w:type="dxa"/>
          <w:right w:w="108" w:type="dxa"/>
        </w:tblCellMar>
      </w:tblPr>
      <w:tblGrid>
        <w:gridCol w:w="538"/>
        <w:gridCol w:w="538"/>
        <w:gridCol w:w="538"/>
        <w:gridCol w:w="631"/>
        <w:gridCol w:w="874"/>
        <w:gridCol w:w="616"/>
        <w:gridCol w:w="3404"/>
        <w:gridCol w:w="6269"/>
        <w:gridCol w:w="766"/>
      </w:tblGrid>
      <w:tr>
        <w:tblPrEx>
          <w:tblCellMar>
            <w:top w:w="0" w:type="dxa"/>
            <w:left w:w="108" w:type="dxa"/>
            <w:bottom w:w="0" w:type="dxa"/>
            <w:right w:w="108" w:type="dxa"/>
          </w:tblCellMar>
        </w:tblPrEx>
        <w:trPr>
          <w:trHeight w:val="180" w:hRule="atLeast"/>
          <w:tblHeader/>
        </w:trPr>
        <w:tc>
          <w:tcPr>
            <w:tcW w:w="3735" w:type="dxa"/>
            <w:gridSpan w:val="6"/>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0" w:firstLineChars="0"/>
              <w:rPr>
                <w:b/>
                <w:bCs/>
                <w:kern w:val="0"/>
                <w:sz w:val="22"/>
                <w:szCs w:val="22"/>
              </w:rPr>
            </w:pPr>
            <w:r>
              <w:rPr>
                <w:rFonts w:hint="eastAsia"/>
                <w:b/>
                <w:bCs/>
                <w:kern w:val="0"/>
                <w:sz w:val="22"/>
                <w:szCs w:val="22"/>
              </w:rPr>
              <w:t>评价指标</w:t>
            </w:r>
          </w:p>
        </w:tc>
        <w:tc>
          <w:tcPr>
            <w:tcW w:w="3404" w:type="dxa"/>
            <w:vMerge w:val="restart"/>
            <w:tcBorders>
              <w:top w:val="single" w:color="auto" w:sz="4" w:space="0"/>
              <w:left w:val="nil"/>
              <w:right w:val="single" w:color="auto" w:sz="4" w:space="0"/>
            </w:tcBorders>
            <w:vAlign w:val="center"/>
          </w:tcPr>
          <w:p>
            <w:pPr>
              <w:widowControl/>
              <w:spacing w:line="320" w:lineRule="exact"/>
              <w:ind w:firstLine="0" w:firstLineChars="0"/>
              <w:rPr>
                <w:b/>
                <w:bCs/>
                <w:kern w:val="0"/>
                <w:sz w:val="22"/>
                <w:szCs w:val="22"/>
              </w:rPr>
            </w:pPr>
            <w:r>
              <w:rPr>
                <w:rFonts w:hint="eastAsia"/>
                <w:b/>
                <w:bCs/>
                <w:kern w:val="0"/>
                <w:sz w:val="22"/>
                <w:szCs w:val="22"/>
              </w:rPr>
              <w:t>指标说明</w:t>
            </w:r>
          </w:p>
        </w:tc>
        <w:tc>
          <w:tcPr>
            <w:tcW w:w="6269" w:type="dxa"/>
            <w:vMerge w:val="restart"/>
            <w:tcBorders>
              <w:top w:val="single" w:color="auto" w:sz="4" w:space="0"/>
              <w:left w:val="nil"/>
              <w:right w:val="single" w:color="auto" w:sz="4" w:space="0"/>
            </w:tcBorders>
            <w:vAlign w:val="center"/>
          </w:tcPr>
          <w:p>
            <w:pPr>
              <w:widowControl/>
              <w:spacing w:line="320" w:lineRule="exact"/>
              <w:ind w:firstLine="0" w:firstLineChars="0"/>
              <w:rPr>
                <w:b/>
                <w:bCs/>
                <w:kern w:val="0"/>
                <w:sz w:val="22"/>
                <w:szCs w:val="22"/>
              </w:rPr>
            </w:pPr>
            <w:r>
              <w:rPr>
                <w:rFonts w:hint="eastAsia"/>
                <w:b/>
                <w:bCs/>
                <w:kern w:val="0"/>
                <w:sz w:val="22"/>
                <w:szCs w:val="22"/>
              </w:rPr>
              <w:t>参考评分标准</w:t>
            </w:r>
          </w:p>
        </w:tc>
        <w:tc>
          <w:tcPr>
            <w:tcW w:w="0" w:type="auto"/>
            <w:vMerge w:val="restart"/>
            <w:tcBorders>
              <w:top w:val="single" w:color="auto" w:sz="4" w:space="0"/>
              <w:left w:val="nil"/>
              <w:right w:val="single" w:color="auto" w:sz="4" w:space="0"/>
            </w:tcBorders>
            <w:vAlign w:val="center"/>
          </w:tcPr>
          <w:p>
            <w:pPr>
              <w:widowControl/>
              <w:spacing w:line="320" w:lineRule="exact"/>
              <w:ind w:firstLine="0" w:firstLineChars="0"/>
              <w:rPr>
                <w:b/>
                <w:bCs/>
                <w:kern w:val="0"/>
                <w:sz w:val="22"/>
                <w:szCs w:val="22"/>
                <w:lang w:eastAsia="zh-Hans"/>
              </w:rPr>
            </w:pPr>
            <w:r>
              <w:rPr>
                <w:rFonts w:hint="eastAsia"/>
                <w:b/>
                <w:bCs/>
                <w:kern w:val="0"/>
                <w:sz w:val="22"/>
                <w:szCs w:val="22"/>
                <w:lang w:eastAsia="zh-Hans"/>
              </w:rPr>
              <w:t>得分</w:t>
            </w:r>
          </w:p>
        </w:tc>
      </w:tr>
      <w:tr>
        <w:tblPrEx>
          <w:tblCellMar>
            <w:top w:w="0" w:type="dxa"/>
            <w:left w:w="108" w:type="dxa"/>
            <w:bottom w:w="0" w:type="dxa"/>
            <w:right w:w="108" w:type="dxa"/>
          </w:tblCellMar>
        </w:tblPrEx>
        <w:trPr>
          <w:trHeight w:val="463" w:hRule="atLeast"/>
          <w:tblHeader/>
        </w:trPr>
        <w:tc>
          <w:tcPr>
            <w:tcW w:w="0" w:type="auto"/>
            <w:gridSpan w:val="2"/>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b/>
                <w:bCs/>
                <w:kern w:val="0"/>
                <w:sz w:val="22"/>
                <w:szCs w:val="22"/>
              </w:rPr>
            </w:pPr>
            <w:r>
              <w:rPr>
                <w:rFonts w:hint="eastAsia"/>
                <w:b/>
                <w:bCs/>
                <w:kern w:val="0"/>
                <w:sz w:val="22"/>
                <w:szCs w:val="22"/>
              </w:rPr>
              <w:t>一级指标</w:t>
            </w:r>
          </w:p>
        </w:tc>
        <w:tc>
          <w:tcPr>
            <w:tcW w:w="0" w:type="auto"/>
            <w:gridSpan w:val="2"/>
            <w:tcBorders>
              <w:top w:val="nil"/>
              <w:left w:val="nil"/>
              <w:bottom w:val="single" w:color="auto" w:sz="4" w:space="0"/>
              <w:right w:val="single" w:color="auto" w:sz="4" w:space="0"/>
            </w:tcBorders>
            <w:vAlign w:val="center"/>
          </w:tcPr>
          <w:p>
            <w:pPr>
              <w:widowControl/>
              <w:spacing w:line="320" w:lineRule="exact"/>
              <w:ind w:firstLine="0" w:firstLineChars="0"/>
              <w:rPr>
                <w:b/>
                <w:bCs/>
                <w:kern w:val="0"/>
                <w:sz w:val="22"/>
                <w:szCs w:val="22"/>
              </w:rPr>
            </w:pPr>
            <w:r>
              <w:rPr>
                <w:rFonts w:hint="eastAsia"/>
                <w:b/>
                <w:bCs/>
                <w:kern w:val="0"/>
                <w:sz w:val="22"/>
                <w:szCs w:val="22"/>
              </w:rPr>
              <w:t>二级指标</w:t>
            </w:r>
          </w:p>
        </w:tc>
        <w:tc>
          <w:tcPr>
            <w:tcW w:w="1490" w:type="dxa"/>
            <w:gridSpan w:val="2"/>
            <w:tcBorders>
              <w:top w:val="nil"/>
              <w:left w:val="nil"/>
              <w:bottom w:val="single" w:color="auto" w:sz="4" w:space="0"/>
              <w:right w:val="single" w:color="auto" w:sz="4" w:space="0"/>
            </w:tcBorders>
            <w:vAlign w:val="center"/>
          </w:tcPr>
          <w:p>
            <w:pPr>
              <w:widowControl/>
              <w:spacing w:line="320" w:lineRule="exact"/>
              <w:ind w:firstLine="0" w:firstLineChars="0"/>
              <w:rPr>
                <w:b/>
                <w:bCs/>
                <w:kern w:val="0"/>
                <w:sz w:val="22"/>
                <w:szCs w:val="22"/>
              </w:rPr>
            </w:pPr>
            <w:r>
              <w:rPr>
                <w:rFonts w:hint="eastAsia"/>
                <w:b/>
                <w:bCs/>
                <w:kern w:val="0"/>
                <w:sz w:val="22"/>
                <w:szCs w:val="22"/>
              </w:rPr>
              <w:t>三级指标</w:t>
            </w:r>
          </w:p>
        </w:tc>
        <w:tc>
          <w:tcPr>
            <w:tcW w:w="3404" w:type="dxa"/>
            <w:vMerge w:val="continue"/>
            <w:tcBorders>
              <w:left w:val="nil"/>
              <w:right w:val="single" w:color="auto" w:sz="4" w:space="0"/>
            </w:tcBorders>
            <w:vAlign w:val="center"/>
          </w:tcPr>
          <w:p>
            <w:pPr>
              <w:spacing w:line="320" w:lineRule="exact"/>
              <w:ind w:firstLine="0" w:firstLineChars="0"/>
              <w:rPr>
                <w:kern w:val="0"/>
                <w:sz w:val="22"/>
                <w:szCs w:val="22"/>
              </w:rPr>
            </w:pPr>
          </w:p>
        </w:tc>
        <w:tc>
          <w:tcPr>
            <w:tcW w:w="6269" w:type="dxa"/>
            <w:vMerge w:val="continue"/>
            <w:tcBorders>
              <w:left w:val="nil"/>
              <w:right w:val="single" w:color="auto" w:sz="4" w:space="0"/>
            </w:tcBorders>
            <w:vAlign w:val="center"/>
          </w:tcPr>
          <w:p>
            <w:pPr>
              <w:spacing w:line="320" w:lineRule="exact"/>
              <w:ind w:firstLine="0" w:firstLineChars="0"/>
              <w:rPr>
                <w:kern w:val="0"/>
                <w:sz w:val="22"/>
                <w:szCs w:val="22"/>
              </w:rPr>
            </w:pPr>
          </w:p>
        </w:tc>
        <w:tc>
          <w:tcPr>
            <w:tcW w:w="0" w:type="auto"/>
            <w:vMerge w:val="continue"/>
            <w:tcBorders>
              <w:left w:val="nil"/>
              <w:right w:val="single" w:color="auto" w:sz="4" w:space="0"/>
            </w:tcBorders>
            <w:vAlign w:val="center"/>
          </w:tcPr>
          <w:p>
            <w:pPr>
              <w:spacing w:line="320" w:lineRule="exact"/>
              <w:ind w:firstLine="0" w:firstLineChars="0"/>
              <w:rPr>
                <w:kern w:val="0"/>
                <w:sz w:val="22"/>
                <w:szCs w:val="22"/>
              </w:rPr>
            </w:pPr>
          </w:p>
        </w:tc>
      </w:tr>
      <w:tr>
        <w:tblPrEx>
          <w:tblCellMar>
            <w:top w:w="0" w:type="dxa"/>
            <w:left w:w="108" w:type="dxa"/>
            <w:bottom w:w="0" w:type="dxa"/>
            <w:right w:w="108" w:type="dxa"/>
          </w:tblCellMar>
        </w:tblPrEx>
        <w:trPr>
          <w:trHeight w:val="180" w:hRule="atLeast"/>
          <w:tblHeader/>
        </w:trPr>
        <w:tc>
          <w:tcPr>
            <w:tcW w:w="0" w:type="auto"/>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b/>
                <w:bCs/>
                <w:kern w:val="0"/>
                <w:sz w:val="22"/>
                <w:szCs w:val="22"/>
              </w:rPr>
            </w:pPr>
            <w:r>
              <w:rPr>
                <w:rFonts w:hint="eastAsia"/>
                <w:b/>
                <w:bCs/>
                <w:kern w:val="0"/>
                <w:sz w:val="22"/>
                <w:szCs w:val="22"/>
              </w:rPr>
              <w:t>名称</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b/>
                <w:bCs/>
                <w:kern w:val="0"/>
                <w:sz w:val="22"/>
                <w:szCs w:val="22"/>
              </w:rPr>
            </w:pPr>
            <w:r>
              <w:rPr>
                <w:rFonts w:hint="eastAsia"/>
                <w:b/>
                <w:bCs/>
                <w:kern w:val="0"/>
                <w:sz w:val="22"/>
                <w:szCs w:val="22"/>
              </w:rPr>
              <w:t>参考分值</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b/>
                <w:bCs/>
                <w:kern w:val="0"/>
                <w:sz w:val="22"/>
                <w:szCs w:val="22"/>
              </w:rPr>
            </w:pPr>
            <w:r>
              <w:rPr>
                <w:rFonts w:hint="eastAsia"/>
                <w:b/>
                <w:bCs/>
                <w:kern w:val="0"/>
                <w:sz w:val="22"/>
                <w:szCs w:val="22"/>
              </w:rPr>
              <w:t>名称</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b/>
                <w:bCs/>
                <w:kern w:val="0"/>
                <w:sz w:val="22"/>
                <w:szCs w:val="22"/>
              </w:rPr>
            </w:pPr>
            <w:r>
              <w:rPr>
                <w:rFonts w:hint="eastAsia"/>
                <w:b/>
                <w:bCs/>
                <w:kern w:val="0"/>
                <w:sz w:val="22"/>
                <w:szCs w:val="22"/>
              </w:rPr>
              <w:t>参考分值</w:t>
            </w:r>
          </w:p>
        </w:tc>
        <w:tc>
          <w:tcPr>
            <w:tcW w:w="874" w:type="dxa"/>
            <w:tcBorders>
              <w:top w:val="nil"/>
              <w:left w:val="nil"/>
              <w:bottom w:val="single" w:color="auto" w:sz="4" w:space="0"/>
              <w:right w:val="single" w:color="auto" w:sz="4" w:space="0"/>
            </w:tcBorders>
            <w:vAlign w:val="center"/>
          </w:tcPr>
          <w:p>
            <w:pPr>
              <w:widowControl/>
              <w:spacing w:line="320" w:lineRule="exact"/>
              <w:ind w:firstLine="0" w:firstLineChars="0"/>
              <w:rPr>
                <w:b/>
                <w:bCs/>
                <w:kern w:val="0"/>
                <w:sz w:val="22"/>
                <w:szCs w:val="22"/>
              </w:rPr>
            </w:pPr>
            <w:r>
              <w:rPr>
                <w:rFonts w:hint="eastAsia"/>
                <w:b/>
                <w:bCs/>
                <w:kern w:val="0"/>
                <w:sz w:val="22"/>
                <w:szCs w:val="22"/>
              </w:rPr>
              <w:t>名称</w:t>
            </w:r>
          </w:p>
        </w:tc>
        <w:tc>
          <w:tcPr>
            <w:tcW w:w="616" w:type="dxa"/>
            <w:tcBorders>
              <w:top w:val="nil"/>
              <w:left w:val="nil"/>
              <w:bottom w:val="single" w:color="auto" w:sz="4" w:space="0"/>
              <w:right w:val="single" w:color="auto" w:sz="4" w:space="0"/>
            </w:tcBorders>
            <w:vAlign w:val="center"/>
          </w:tcPr>
          <w:p>
            <w:pPr>
              <w:widowControl/>
              <w:spacing w:line="320" w:lineRule="exact"/>
              <w:ind w:firstLine="0" w:firstLineChars="0"/>
              <w:rPr>
                <w:b/>
                <w:bCs/>
                <w:kern w:val="0"/>
                <w:sz w:val="22"/>
                <w:szCs w:val="22"/>
              </w:rPr>
            </w:pPr>
            <w:r>
              <w:rPr>
                <w:rFonts w:hint="eastAsia"/>
                <w:b/>
                <w:bCs/>
                <w:kern w:val="0"/>
                <w:sz w:val="22"/>
                <w:szCs w:val="22"/>
              </w:rPr>
              <w:t>参考分值</w:t>
            </w:r>
          </w:p>
        </w:tc>
        <w:tc>
          <w:tcPr>
            <w:tcW w:w="3404" w:type="dxa"/>
            <w:vMerge w:val="continue"/>
            <w:tcBorders>
              <w:left w:val="nil"/>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6269" w:type="dxa"/>
            <w:vMerge w:val="continue"/>
            <w:tcBorders>
              <w:left w:val="nil"/>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left w:val="nil"/>
              <w:bottom w:val="single" w:color="auto" w:sz="4" w:space="0"/>
              <w:right w:val="single" w:color="auto" w:sz="4" w:space="0"/>
            </w:tcBorders>
            <w:vAlign w:val="center"/>
          </w:tcPr>
          <w:p>
            <w:pPr>
              <w:widowControl/>
              <w:spacing w:line="320" w:lineRule="exact"/>
              <w:ind w:firstLine="0" w:firstLineChars="0"/>
              <w:rPr>
                <w:kern w:val="0"/>
                <w:sz w:val="22"/>
                <w:szCs w:val="22"/>
              </w:rPr>
            </w:pPr>
          </w:p>
        </w:tc>
      </w:tr>
      <w:tr>
        <w:tblPrEx>
          <w:tblCellMar>
            <w:top w:w="0" w:type="dxa"/>
            <w:left w:w="108" w:type="dxa"/>
            <w:bottom w:w="0" w:type="dxa"/>
            <w:right w:w="108" w:type="dxa"/>
          </w:tblCellMar>
        </w:tblPrEx>
        <w:trPr>
          <w:trHeight w:val="2643" w:hRule="atLeast"/>
        </w:trPr>
        <w:tc>
          <w:tcPr>
            <w:tcW w:w="0" w:type="auto"/>
            <w:vMerge w:val="restart"/>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部门决策</w:t>
            </w:r>
          </w:p>
        </w:tc>
        <w:tc>
          <w:tcPr>
            <w:tcW w:w="0" w:type="auto"/>
            <w:vMerge w:val="restart"/>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20</w:t>
            </w:r>
          </w:p>
        </w:tc>
        <w:tc>
          <w:tcPr>
            <w:tcW w:w="0" w:type="auto"/>
            <w:vMerge w:val="restart"/>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预算编制</w:t>
            </w:r>
          </w:p>
        </w:tc>
        <w:tc>
          <w:tcPr>
            <w:tcW w:w="0" w:type="auto"/>
            <w:vMerge w:val="restart"/>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10</w:t>
            </w:r>
          </w:p>
        </w:tc>
        <w:tc>
          <w:tcPr>
            <w:tcW w:w="87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预算编制合理性</w:t>
            </w:r>
          </w:p>
        </w:tc>
        <w:tc>
          <w:tcPr>
            <w:tcW w:w="616"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5</w:t>
            </w:r>
          </w:p>
        </w:tc>
        <w:tc>
          <w:tcPr>
            <w:tcW w:w="340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部门（单位）预算的合理性，即是否符合本部门职责、是否符合市委市政府的方针政策和工作要求，资金有无根据项目的轻重缓急进行分配。</w:t>
            </w:r>
          </w:p>
        </w:tc>
        <w:tc>
          <w:tcPr>
            <w:tcW w:w="6269" w:type="dxa"/>
            <w:tcBorders>
              <w:top w:val="nil"/>
              <w:left w:val="nil"/>
              <w:bottom w:val="single" w:color="auto" w:sz="4" w:space="0"/>
              <w:right w:val="single" w:color="auto" w:sz="4" w:space="0"/>
            </w:tcBorders>
          </w:tcPr>
          <w:p>
            <w:pPr>
              <w:widowControl/>
              <w:spacing w:line="320" w:lineRule="exact"/>
              <w:ind w:firstLine="0" w:firstLineChars="0"/>
              <w:rPr>
                <w:kern w:val="0"/>
                <w:sz w:val="22"/>
                <w:szCs w:val="22"/>
              </w:rPr>
            </w:pPr>
            <w:r>
              <w:rPr>
                <w:rFonts w:hint="eastAsia"/>
                <w:kern w:val="0"/>
                <w:sz w:val="22"/>
                <w:szCs w:val="22"/>
              </w:rPr>
              <w:t>1.部门预算编制、分配符合本部门职责、符合市委市政府方针政策和工作要求（1分）；</w:t>
            </w:r>
            <w:r>
              <w:rPr>
                <w:rFonts w:hint="eastAsia"/>
                <w:kern w:val="0"/>
                <w:sz w:val="22"/>
                <w:szCs w:val="22"/>
              </w:rPr>
              <w:br w:type="textWrapping"/>
            </w:r>
            <w:r>
              <w:rPr>
                <w:rFonts w:hint="eastAsia"/>
                <w:kern w:val="0"/>
                <w:sz w:val="22"/>
                <w:szCs w:val="22"/>
              </w:rPr>
              <w:t xml:space="preserve">2.部门预算资金能根据年度工作重点，在不同项目、不同用途之间合理分配（1分）；                                                            </w:t>
            </w:r>
            <w:r>
              <w:rPr>
                <w:rFonts w:hint="eastAsia"/>
                <w:kern w:val="0"/>
                <w:sz w:val="22"/>
                <w:szCs w:val="22"/>
              </w:rPr>
              <w:br w:type="textWrapping"/>
            </w:r>
            <w:r>
              <w:rPr>
                <w:rFonts w:hint="eastAsia"/>
                <w:kern w:val="0"/>
                <w:sz w:val="22"/>
                <w:szCs w:val="22"/>
              </w:rPr>
              <w:t xml:space="preserve">3.专项资金预算编制细化程度合理，未出现因年中调剂导致部门预决算差异过大问题（1分）；                                                                                       </w:t>
            </w:r>
            <w:r>
              <w:rPr>
                <w:rFonts w:hint="eastAsia"/>
                <w:kern w:val="0"/>
                <w:sz w:val="22"/>
                <w:szCs w:val="22"/>
              </w:rPr>
              <w:br w:type="textWrapping"/>
            </w:r>
            <w:r>
              <w:rPr>
                <w:rFonts w:hint="eastAsia"/>
                <w:kern w:val="0"/>
                <w:sz w:val="22"/>
                <w:szCs w:val="22"/>
              </w:rPr>
              <w:t>4.功能分类和经济分类编制准确，年度中间无大量调剂，未发生项目之间频繁调剂（1分）；</w:t>
            </w:r>
            <w:r>
              <w:rPr>
                <w:rFonts w:hint="eastAsia"/>
                <w:kern w:val="0"/>
                <w:sz w:val="22"/>
                <w:szCs w:val="22"/>
              </w:rPr>
              <w:br w:type="textWrapping"/>
            </w:r>
            <w:r>
              <w:rPr>
                <w:rFonts w:hint="eastAsia"/>
                <w:kern w:val="0"/>
                <w:sz w:val="22"/>
                <w:szCs w:val="22"/>
              </w:rPr>
              <w:t>5.部门预算分配不固化，能根据实际情况合理调整，不存在项目支出进度慢、完成率低、绩效较差，但连年持续安排预算等不合理的情况（1分）。</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5</w:t>
            </w:r>
          </w:p>
        </w:tc>
      </w:tr>
      <w:tr>
        <w:tblPrEx>
          <w:tblCellMar>
            <w:top w:w="0" w:type="dxa"/>
            <w:left w:w="108" w:type="dxa"/>
            <w:bottom w:w="0" w:type="dxa"/>
            <w:right w:w="108" w:type="dxa"/>
          </w:tblCellMar>
        </w:tblPrEx>
        <w:trPr>
          <w:trHeight w:val="1689"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87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预算编制规范性</w:t>
            </w:r>
          </w:p>
        </w:tc>
        <w:tc>
          <w:tcPr>
            <w:tcW w:w="616"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5</w:t>
            </w:r>
          </w:p>
        </w:tc>
        <w:tc>
          <w:tcPr>
            <w:tcW w:w="340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部门（单位）预算编制是否符合财政部门当年度关于预算编制在规范性、完整性、细化程度等方面的原则和要求。</w:t>
            </w:r>
          </w:p>
        </w:tc>
        <w:tc>
          <w:tcPr>
            <w:tcW w:w="6269" w:type="dxa"/>
            <w:tcBorders>
              <w:top w:val="nil"/>
              <w:left w:val="nil"/>
              <w:bottom w:val="single" w:color="auto" w:sz="4" w:space="0"/>
              <w:right w:val="single" w:color="auto" w:sz="4" w:space="0"/>
            </w:tcBorders>
          </w:tcPr>
          <w:p>
            <w:pPr>
              <w:widowControl/>
              <w:spacing w:line="320" w:lineRule="exact"/>
              <w:ind w:firstLine="0" w:firstLineChars="0"/>
              <w:rPr>
                <w:kern w:val="0"/>
                <w:sz w:val="22"/>
                <w:szCs w:val="22"/>
              </w:rPr>
            </w:pPr>
            <w:r>
              <w:rPr>
                <w:rFonts w:hint="eastAsia"/>
                <w:kern w:val="0"/>
                <w:sz w:val="22"/>
                <w:szCs w:val="22"/>
              </w:rPr>
              <w:t>1.部门（单位）预算编制符合财政部门当年度关于预算编制的各项原则和要求，符合专项资金预算编制、项目库管理、新增项目事前绩效评估等要求（5分）；</w:t>
            </w:r>
          </w:p>
          <w:p>
            <w:pPr>
              <w:widowControl/>
              <w:spacing w:line="320" w:lineRule="exact"/>
              <w:ind w:firstLine="0" w:firstLineChars="0"/>
              <w:rPr>
                <w:kern w:val="0"/>
                <w:sz w:val="22"/>
                <w:szCs w:val="22"/>
              </w:rPr>
            </w:pPr>
            <w:r>
              <w:rPr>
                <w:rFonts w:hint="eastAsia"/>
                <w:kern w:val="0"/>
                <w:sz w:val="22"/>
                <w:szCs w:val="22"/>
              </w:rPr>
              <w:t>2.发现一项不符合的扣1分，扣完为止。</w:t>
            </w:r>
          </w:p>
          <w:p>
            <w:pPr>
              <w:widowControl/>
              <w:spacing w:line="320" w:lineRule="exact"/>
              <w:ind w:firstLine="0" w:firstLineChars="0"/>
              <w:rPr>
                <w:kern w:val="0"/>
                <w:sz w:val="22"/>
                <w:szCs w:val="22"/>
              </w:rPr>
            </w:pPr>
            <w:r>
              <w:rPr>
                <w:rFonts w:hint="eastAsia"/>
                <w:kern w:val="0"/>
                <w:sz w:val="22"/>
                <w:szCs w:val="22"/>
              </w:rPr>
              <w:t>本指标需对照相应年度由财政部门印发的部门预算编制工作方案、通知和有关制度文件，根据实际情况评分。</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5</w:t>
            </w:r>
          </w:p>
        </w:tc>
      </w:tr>
      <w:tr>
        <w:tblPrEx>
          <w:tblCellMar>
            <w:top w:w="0" w:type="dxa"/>
            <w:left w:w="108" w:type="dxa"/>
            <w:bottom w:w="0" w:type="dxa"/>
            <w:right w:w="108" w:type="dxa"/>
          </w:tblCellMar>
        </w:tblPrEx>
        <w:trPr>
          <w:trHeight w:val="1621"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restart"/>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目标设置</w:t>
            </w:r>
          </w:p>
        </w:tc>
        <w:tc>
          <w:tcPr>
            <w:tcW w:w="0" w:type="auto"/>
            <w:vMerge w:val="restart"/>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10</w:t>
            </w:r>
          </w:p>
        </w:tc>
        <w:tc>
          <w:tcPr>
            <w:tcW w:w="87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绩效目标完整性</w:t>
            </w:r>
          </w:p>
        </w:tc>
        <w:tc>
          <w:tcPr>
            <w:tcW w:w="616"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3</w:t>
            </w:r>
          </w:p>
        </w:tc>
        <w:tc>
          <w:tcPr>
            <w:tcW w:w="340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部门（单位）是否按要求编报项目绩效目标，是否依据充分、内容完整、覆盖全面、符合实际。</w:t>
            </w:r>
          </w:p>
        </w:tc>
        <w:tc>
          <w:tcPr>
            <w:tcW w:w="6269"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1.部门（单位）按要求编报部门整体和项目的绩效目标，实现绩效目标全覆盖（3分）；</w:t>
            </w:r>
          </w:p>
          <w:p>
            <w:pPr>
              <w:widowControl/>
              <w:spacing w:line="320" w:lineRule="exact"/>
              <w:ind w:firstLine="0" w:firstLineChars="0"/>
              <w:rPr>
                <w:kern w:val="0"/>
                <w:sz w:val="22"/>
                <w:szCs w:val="22"/>
              </w:rPr>
            </w:pPr>
            <w:r>
              <w:rPr>
                <w:rFonts w:hint="eastAsia"/>
                <w:kern w:val="0"/>
                <w:sz w:val="22"/>
                <w:szCs w:val="22"/>
              </w:rPr>
              <w:t>2.没按要求编报绩效目标或绩效目标不符合要求的，一项扣1分，扣完为止。</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3</w:t>
            </w:r>
          </w:p>
        </w:tc>
      </w:tr>
      <w:tr>
        <w:tblPrEx>
          <w:tblCellMar>
            <w:top w:w="0" w:type="dxa"/>
            <w:left w:w="108" w:type="dxa"/>
            <w:bottom w:w="0" w:type="dxa"/>
            <w:right w:w="108" w:type="dxa"/>
          </w:tblCellMar>
        </w:tblPrEx>
        <w:trPr>
          <w:trHeight w:val="643"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87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绩效指标明确性</w:t>
            </w:r>
          </w:p>
        </w:tc>
        <w:tc>
          <w:tcPr>
            <w:tcW w:w="616"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7</w:t>
            </w:r>
          </w:p>
        </w:tc>
        <w:tc>
          <w:tcPr>
            <w:tcW w:w="340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部门（单位）设定的绩效指标是否清晰、细化、可量化，用以反映和考核部门（单位）整体绩效目标的明细化情况。</w:t>
            </w:r>
          </w:p>
        </w:tc>
        <w:tc>
          <w:tcPr>
            <w:tcW w:w="6269"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1.绩效指标将部门整体绩效目标细化分解为具体工作任务，与部门年度任务数或计划数相对应（2分）；</w:t>
            </w:r>
          </w:p>
          <w:p>
            <w:pPr>
              <w:widowControl/>
              <w:spacing w:line="320" w:lineRule="exact"/>
              <w:ind w:firstLine="0" w:firstLineChars="0"/>
              <w:rPr>
                <w:kern w:val="0"/>
                <w:sz w:val="22"/>
                <w:szCs w:val="22"/>
              </w:rPr>
            </w:pPr>
            <w:r>
              <w:rPr>
                <w:rFonts w:hint="eastAsia"/>
                <w:kern w:val="0"/>
                <w:sz w:val="22"/>
                <w:szCs w:val="22"/>
              </w:rPr>
              <w:t>2.绩效指标中包含能够明确体现部门（单位）履职效果的社会、经济、生态效益指标（2分）；</w:t>
            </w:r>
            <w:r>
              <w:rPr>
                <w:rFonts w:hint="eastAsia"/>
                <w:kern w:val="0"/>
                <w:sz w:val="22"/>
                <w:szCs w:val="22"/>
              </w:rPr>
              <w:br w:type="textWrapping"/>
            </w:r>
            <w:r>
              <w:rPr>
                <w:rFonts w:hint="eastAsia"/>
                <w:kern w:val="0"/>
                <w:sz w:val="22"/>
                <w:szCs w:val="22"/>
              </w:rPr>
              <w:t>3.绩效指标具有清晰、可衡量的指标值（1分）；</w:t>
            </w:r>
            <w:r>
              <w:rPr>
                <w:rFonts w:hint="eastAsia"/>
                <w:kern w:val="0"/>
                <w:sz w:val="22"/>
                <w:szCs w:val="22"/>
              </w:rPr>
              <w:br w:type="textWrapping"/>
            </w:r>
            <w:r>
              <w:rPr>
                <w:rFonts w:hint="eastAsia"/>
                <w:kern w:val="0"/>
                <w:sz w:val="22"/>
                <w:szCs w:val="22"/>
              </w:rPr>
              <w:t>4.绩效指标包含可量化的指标（1分）；</w:t>
            </w:r>
          </w:p>
          <w:p>
            <w:pPr>
              <w:widowControl/>
              <w:spacing w:line="320" w:lineRule="exact"/>
              <w:ind w:firstLine="0" w:firstLineChars="0"/>
              <w:rPr>
                <w:kern w:val="0"/>
                <w:sz w:val="22"/>
                <w:szCs w:val="22"/>
              </w:rPr>
            </w:pPr>
            <w:r>
              <w:rPr>
                <w:rFonts w:hint="eastAsia"/>
                <w:kern w:val="0"/>
                <w:sz w:val="22"/>
                <w:szCs w:val="22"/>
              </w:rPr>
              <w:t xml:space="preserve">    5.绩效目标的目标值测算能提供相关依据或符合客观实际情况（1分）。</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7</w:t>
            </w:r>
          </w:p>
        </w:tc>
      </w:tr>
      <w:tr>
        <w:tblPrEx>
          <w:tblCellMar>
            <w:top w:w="0" w:type="dxa"/>
            <w:left w:w="108" w:type="dxa"/>
            <w:bottom w:w="0" w:type="dxa"/>
            <w:right w:w="108" w:type="dxa"/>
          </w:tblCellMar>
        </w:tblPrEx>
        <w:trPr>
          <w:trHeight w:val="1359" w:hRule="atLeast"/>
        </w:trPr>
        <w:tc>
          <w:tcPr>
            <w:tcW w:w="0" w:type="auto"/>
            <w:vMerge w:val="restart"/>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部门管理</w:t>
            </w:r>
          </w:p>
        </w:tc>
        <w:tc>
          <w:tcPr>
            <w:tcW w:w="0" w:type="auto"/>
            <w:vMerge w:val="restart"/>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20</w:t>
            </w:r>
          </w:p>
        </w:tc>
        <w:tc>
          <w:tcPr>
            <w:tcW w:w="0" w:type="auto"/>
            <w:vMerge w:val="restart"/>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资金管理</w:t>
            </w:r>
          </w:p>
        </w:tc>
        <w:tc>
          <w:tcPr>
            <w:tcW w:w="0" w:type="auto"/>
            <w:vMerge w:val="restart"/>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8</w:t>
            </w:r>
          </w:p>
        </w:tc>
        <w:tc>
          <w:tcPr>
            <w:tcW w:w="874" w:type="dxa"/>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政府采购执行情况</w:t>
            </w:r>
          </w:p>
        </w:tc>
        <w:tc>
          <w:tcPr>
            <w:tcW w:w="616" w:type="dxa"/>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2</w:t>
            </w:r>
          </w:p>
        </w:tc>
        <w:tc>
          <w:tcPr>
            <w:tcW w:w="3404" w:type="dxa"/>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部门（单位）本年度实际政府采购金额与年度政府采购预算的比率，用以反映和考核部门（单位）政府采购预算执行情况；政府采购政策功能的执行和落实情况。</w:t>
            </w:r>
          </w:p>
        </w:tc>
        <w:tc>
          <w:tcPr>
            <w:tcW w:w="6269" w:type="dxa"/>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1.政府采购执行率得分=政府采购执行率×1分</w:t>
            </w:r>
            <w:r>
              <w:rPr>
                <w:rFonts w:hint="eastAsia"/>
                <w:kern w:val="0"/>
                <w:sz w:val="22"/>
                <w:szCs w:val="22"/>
              </w:rPr>
              <w:br w:type="textWrapping"/>
            </w:r>
            <w:r>
              <w:rPr>
                <w:rFonts w:hint="eastAsia"/>
                <w:kern w:val="0"/>
                <w:sz w:val="22"/>
                <w:szCs w:val="22"/>
              </w:rPr>
              <w:t>政府采购执行率=（实际采购金额合计数/采购计划金额合计数）×100%</w:t>
            </w:r>
            <w:r>
              <w:rPr>
                <w:rFonts w:hint="eastAsia"/>
                <w:kern w:val="0"/>
                <w:sz w:val="22"/>
                <w:szCs w:val="22"/>
              </w:rPr>
              <w:br w:type="textWrapping"/>
            </w:r>
            <w:r>
              <w:rPr>
                <w:rFonts w:hint="eastAsia"/>
                <w:kern w:val="0"/>
                <w:sz w:val="22"/>
                <w:szCs w:val="22"/>
              </w:rPr>
              <w:t>如实际采购金额大于采购计划金额，本项得0分。</w:t>
            </w:r>
            <w:r>
              <w:rPr>
                <w:rFonts w:hint="eastAsia"/>
                <w:kern w:val="0"/>
                <w:sz w:val="22"/>
                <w:szCs w:val="22"/>
              </w:rPr>
              <w:br w:type="textWrapping"/>
            </w:r>
            <w:r>
              <w:rPr>
                <w:rFonts w:hint="eastAsia"/>
                <w:kern w:val="0"/>
                <w:sz w:val="22"/>
                <w:szCs w:val="22"/>
              </w:rPr>
              <w:t>政府采购预算是指采购机关根据事业发展计划和行政任务编制的、并经过规定程序批准的年度政府采购计划。</w:t>
            </w:r>
          </w:p>
          <w:p>
            <w:pPr>
              <w:widowControl/>
              <w:spacing w:line="320" w:lineRule="exact"/>
              <w:ind w:firstLine="0" w:firstLineChars="0"/>
              <w:rPr>
                <w:kern w:val="0"/>
                <w:sz w:val="22"/>
                <w:szCs w:val="22"/>
              </w:rPr>
            </w:pPr>
            <w:r>
              <w:rPr>
                <w:rFonts w:hint="eastAsia"/>
                <w:kern w:val="0"/>
                <w:sz w:val="22"/>
                <w:szCs w:val="22"/>
              </w:rPr>
              <w:t>2.政府采购政策功能的执行和落实情况（1分），落实不到位的酌情扣分。</w:t>
            </w:r>
          </w:p>
        </w:tc>
        <w:tc>
          <w:tcPr>
            <w:tcW w:w="0" w:type="auto"/>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1.88</w:t>
            </w:r>
          </w:p>
        </w:tc>
      </w:tr>
      <w:tr>
        <w:tblPrEx>
          <w:tblCellMar>
            <w:top w:w="0" w:type="dxa"/>
            <w:left w:w="108" w:type="dxa"/>
            <w:bottom w:w="0" w:type="dxa"/>
            <w:right w:w="108" w:type="dxa"/>
          </w:tblCellMar>
        </w:tblPrEx>
        <w:trPr>
          <w:trHeight w:val="952"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874" w:type="dxa"/>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财务合规性</w:t>
            </w:r>
          </w:p>
        </w:tc>
        <w:tc>
          <w:tcPr>
            <w:tcW w:w="616" w:type="dxa"/>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3</w:t>
            </w:r>
          </w:p>
        </w:tc>
        <w:tc>
          <w:tcPr>
            <w:tcW w:w="3404" w:type="dxa"/>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资金支出规范性，包括资金管理、费用支出等制度是否严格执行；资金调整、调剂是否规范；会计核算是否规范、是否存在支出依据不合规、虚列项目支出的情况；是否存在截留、挤占、挪用项目资金情况。</w:t>
            </w:r>
          </w:p>
        </w:tc>
        <w:tc>
          <w:tcPr>
            <w:tcW w:w="6269" w:type="dxa"/>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1.资金支出规范性（1分）。资金管理、费用标准、支付符合有关制度规定，按事项完成进度支付资金的，得1分，否则酌情扣分。</w:t>
            </w:r>
            <w:r>
              <w:rPr>
                <w:rFonts w:hint="eastAsia"/>
                <w:kern w:val="0"/>
                <w:sz w:val="22"/>
                <w:szCs w:val="22"/>
              </w:rPr>
              <w:br w:type="textWrapping"/>
            </w:r>
            <w:r>
              <w:rPr>
                <w:rFonts w:hint="eastAsia"/>
                <w:kern w:val="0"/>
                <w:sz w:val="22"/>
                <w:szCs w:val="22"/>
              </w:rPr>
              <w:t>2.资金调整、调剂规范性（1分）。调整、调剂资金累计在本单位部门预算总规模10%以内的，得1分；超出10%的，超出一个百分点扣0.1分，直至1分扣完为止。</w:t>
            </w:r>
          </w:p>
          <w:p>
            <w:pPr>
              <w:widowControl/>
              <w:spacing w:line="320" w:lineRule="exact"/>
              <w:ind w:firstLine="0" w:firstLineChars="0"/>
              <w:rPr>
                <w:kern w:val="0"/>
                <w:sz w:val="22"/>
                <w:szCs w:val="22"/>
              </w:rPr>
            </w:pPr>
            <w:r>
              <w:rPr>
                <w:rFonts w:hint="eastAsia"/>
                <w:kern w:val="0"/>
                <w:sz w:val="22"/>
                <w:szCs w:val="22"/>
              </w:rPr>
              <w:t>3.会计核算规范性（1分）。规范执行会计核算制度得1分，未按规定设专账核算、支出凭证不符合规定或其他核算不规范，酌情扣分。</w:t>
            </w:r>
          </w:p>
          <w:p>
            <w:pPr>
              <w:widowControl/>
              <w:spacing w:line="320" w:lineRule="exact"/>
              <w:ind w:firstLine="0" w:firstLineChars="0"/>
              <w:rPr>
                <w:kern w:val="0"/>
                <w:sz w:val="22"/>
                <w:szCs w:val="22"/>
              </w:rPr>
            </w:pPr>
            <w:r>
              <w:rPr>
                <w:rFonts w:hint="eastAsia"/>
                <w:kern w:val="0"/>
                <w:sz w:val="22"/>
                <w:szCs w:val="22"/>
              </w:rPr>
              <w:t>4.发生超范围、超标准支出，虚列支出，截留、挤占、挪用资金的，以及其他不符合制度规定支出，本项指标得0分。</w:t>
            </w:r>
          </w:p>
        </w:tc>
        <w:tc>
          <w:tcPr>
            <w:tcW w:w="0" w:type="auto"/>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3</w:t>
            </w:r>
          </w:p>
        </w:tc>
      </w:tr>
      <w:tr>
        <w:tblPrEx>
          <w:tblCellMar>
            <w:top w:w="0" w:type="dxa"/>
            <w:left w:w="108" w:type="dxa"/>
            <w:bottom w:w="0" w:type="dxa"/>
            <w:right w:w="108" w:type="dxa"/>
          </w:tblCellMar>
        </w:tblPrEx>
        <w:trPr>
          <w:trHeight w:val="394"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87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预决算信息公开</w:t>
            </w:r>
          </w:p>
        </w:tc>
        <w:tc>
          <w:tcPr>
            <w:tcW w:w="616"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3</w:t>
            </w:r>
          </w:p>
        </w:tc>
        <w:tc>
          <w:tcPr>
            <w:tcW w:w="340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部门（单位）在被评价年度是否按照政府信息公开有关规定公开相关预决算信息，用以反映部门（单位）预决算管理的公开透明情况。</w:t>
            </w:r>
          </w:p>
        </w:tc>
        <w:tc>
          <w:tcPr>
            <w:tcW w:w="6269"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1.部门预算公开（1.5分），按以下标准分档计分：</w:t>
            </w:r>
            <w:r>
              <w:rPr>
                <w:rFonts w:hint="eastAsia"/>
                <w:kern w:val="0"/>
                <w:sz w:val="22"/>
                <w:szCs w:val="22"/>
              </w:rPr>
              <w:br w:type="textWrapping"/>
            </w:r>
            <w:r>
              <w:rPr>
                <w:rFonts w:hint="eastAsia"/>
                <w:kern w:val="0"/>
                <w:sz w:val="22"/>
                <w:szCs w:val="22"/>
              </w:rPr>
              <w:t>（1）按规定内容、时限、范围等各项要求进行公开的，得1.5分。</w:t>
            </w:r>
            <w:r>
              <w:rPr>
                <w:rFonts w:hint="eastAsia"/>
                <w:kern w:val="0"/>
                <w:sz w:val="22"/>
                <w:szCs w:val="22"/>
              </w:rPr>
              <w:br w:type="textWrapping"/>
            </w:r>
            <w:r>
              <w:rPr>
                <w:rFonts w:hint="eastAsia"/>
                <w:kern w:val="0"/>
                <w:sz w:val="22"/>
                <w:szCs w:val="22"/>
              </w:rPr>
              <w:t>（2）进行了公开，存在不符合时限、内容、范围等要求的，得1分。</w:t>
            </w:r>
            <w:r>
              <w:rPr>
                <w:rFonts w:hint="eastAsia"/>
                <w:kern w:val="0"/>
                <w:sz w:val="22"/>
                <w:szCs w:val="22"/>
              </w:rPr>
              <w:br w:type="textWrapping"/>
            </w:r>
            <w:r>
              <w:rPr>
                <w:rFonts w:hint="eastAsia"/>
                <w:kern w:val="0"/>
                <w:sz w:val="22"/>
                <w:szCs w:val="22"/>
              </w:rPr>
              <w:t>（3）没有进行公开的，得0分。</w:t>
            </w:r>
            <w:r>
              <w:rPr>
                <w:rFonts w:hint="eastAsia"/>
                <w:kern w:val="0"/>
                <w:sz w:val="22"/>
                <w:szCs w:val="22"/>
              </w:rPr>
              <w:br w:type="textWrapping"/>
            </w:r>
            <w:r>
              <w:rPr>
                <w:rFonts w:hint="eastAsia"/>
                <w:kern w:val="0"/>
                <w:sz w:val="22"/>
                <w:szCs w:val="22"/>
              </w:rPr>
              <w:t>2.部门决算公开（1.5分），按以下标准分档计分：</w:t>
            </w:r>
            <w:r>
              <w:rPr>
                <w:rFonts w:hint="eastAsia"/>
                <w:kern w:val="0"/>
                <w:sz w:val="22"/>
                <w:szCs w:val="22"/>
              </w:rPr>
              <w:br w:type="textWrapping"/>
            </w:r>
            <w:r>
              <w:rPr>
                <w:rFonts w:hint="eastAsia"/>
                <w:kern w:val="0"/>
                <w:sz w:val="22"/>
                <w:szCs w:val="22"/>
              </w:rPr>
              <w:t>（1）按规定内容、时限、范围等各项要求进行公开的，得1.5分。</w:t>
            </w:r>
            <w:r>
              <w:rPr>
                <w:rFonts w:hint="eastAsia"/>
                <w:kern w:val="0"/>
                <w:sz w:val="22"/>
                <w:szCs w:val="22"/>
              </w:rPr>
              <w:br w:type="textWrapping"/>
            </w:r>
            <w:r>
              <w:rPr>
                <w:rFonts w:hint="eastAsia"/>
                <w:kern w:val="0"/>
                <w:sz w:val="22"/>
                <w:szCs w:val="22"/>
              </w:rPr>
              <w:t xml:space="preserve"> （2）进行了公开，存在不符合时限、内容、范围等要求的，得1分。</w:t>
            </w:r>
            <w:r>
              <w:rPr>
                <w:rFonts w:hint="eastAsia"/>
                <w:kern w:val="0"/>
                <w:sz w:val="22"/>
                <w:szCs w:val="22"/>
              </w:rPr>
              <w:br w:type="textWrapping"/>
            </w:r>
            <w:r>
              <w:rPr>
                <w:rFonts w:hint="eastAsia"/>
                <w:kern w:val="0"/>
                <w:sz w:val="22"/>
                <w:szCs w:val="22"/>
              </w:rPr>
              <w:t>（3）没有进行公开的，得0分。</w:t>
            </w:r>
          </w:p>
          <w:p>
            <w:pPr>
              <w:widowControl/>
              <w:spacing w:line="320" w:lineRule="exact"/>
              <w:ind w:firstLine="0" w:firstLineChars="0"/>
              <w:rPr>
                <w:kern w:val="0"/>
                <w:sz w:val="22"/>
                <w:szCs w:val="22"/>
              </w:rPr>
            </w:pPr>
            <w:r>
              <w:rPr>
                <w:rFonts w:hint="eastAsia"/>
                <w:kern w:val="0"/>
                <w:sz w:val="22"/>
                <w:szCs w:val="22"/>
              </w:rPr>
              <w:t>3.涉密部门（单位）按规定不需要公开相关预决算信息的直接得分。</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3</w:t>
            </w:r>
          </w:p>
        </w:tc>
      </w:tr>
      <w:tr>
        <w:tblPrEx>
          <w:tblCellMar>
            <w:top w:w="0" w:type="dxa"/>
            <w:left w:w="108" w:type="dxa"/>
            <w:bottom w:w="0" w:type="dxa"/>
            <w:right w:w="108" w:type="dxa"/>
          </w:tblCellMar>
        </w:tblPrEx>
        <w:trPr>
          <w:trHeight w:val="1491"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restart"/>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项目管理</w:t>
            </w:r>
          </w:p>
        </w:tc>
        <w:tc>
          <w:tcPr>
            <w:tcW w:w="0" w:type="auto"/>
            <w:vMerge w:val="restart"/>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4</w:t>
            </w:r>
          </w:p>
        </w:tc>
        <w:tc>
          <w:tcPr>
            <w:tcW w:w="87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项目实施程序</w:t>
            </w:r>
          </w:p>
        </w:tc>
        <w:tc>
          <w:tcPr>
            <w:tcW w:w="616"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2</w:t>
            </w:r>
          </w:p>
        </w:tc>
        <w:tc>
          <w:tcPr>
            <w:tcW w:w="340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部门（单位）所有项目支出实施过程是否规范,包括是否符合申报条件；申报、批复程序是否符合相关管理办法；项目招投标、调整、完成验收等是否履行相应手续等。</w:t>
            </w:r>
          </w:p>
        </w:tc>
        <w:tc>
          <w:tcPr>
            <w:tcW w:w="6269"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1.项目的设立、调整按规定履行报批程序（1分）；</w:t>
            </w:r>
            <w:r>
              <w:rPr>
                <w:rFonts w:hint="eastAsia"/>
                <w:kern w:val="0"/>
                <w:sz w:val="22"/>
                <w:szCs w:val="22"/>
              </w:rPr>
              <w:br w:type="textWrapping"/>
            </w:r>
            <w:r>
              <w:rPr>
                <w:rFonts w:hint="eastAsia"/>
                <w:kern w:val="0"/>
                <w:sz w:val="22"/>
                <w:szCs w:val="22"/>
              </w:rPr>
              <w:t>2.项目招投标、建设、验收以及方案实施均严格执行相关制度规定（1分）。</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2</w:t>
            </w:r>
          </w:p>
        </w:tc>
      </w:tr>
      <w:tr>
        <w:tblPrEx>
          <w:tblCellMar>
            <w:top w:w="0" w:type="dxa"/>
            <w:left w:w="108" w:type="dxa"/>
            <w:bottom w:w="0" w:type="dxa"/>
            <w:right w:w="108" w:type="dxa"/>
          </w:tblCellMar>
        </w:tblPrEx>
        <w:trPr>
          <w:trHeight w:val="1527"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87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项目</w:t>
            </w:r>
          </w:p>
          <w:p>
            <w:pPr>
              <w:widowControl/>
              <w:spacing w:line="320" w:lineRule="exact"/>
              <w:ind w:firstLine="0" w:firstLineChars="0"/>
              <w:rPr>
                <w:kern w:val="0"/>
                <w:sz w:val="22"/>
                <w:szCs w:val="22"/>
              </w:rPr>
            </w:pPr>
            <w:r>
              <w:rPr>
                <w:rFonts w:hint="eastAsia"/>
                <w:kern w:val="0"/>
                <w:sz w:val="22"/>
                <w:szCs w:val="22"/>
              </w:rPr>
              <w:t>监管</w:t>
            </w:r>
          </w:p>
        </w:tc>
        <w:tc>
          <w:tcPr>
            <w:tcW w:w="616"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2</w:t>
            </w:r>
          </w:p>
        </w:tc>
        <w:tc>
          <w:tcPr>
            <w:tcW w:w="340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部门（单位）对所实施项目（包括部门主管的专项资金和专项经费分配给市、区实施的项目）的检查、监控、督促整改等管理情况。</w:t>
            </w:r>
          </w:p>
        </w:tc>
        <w:tc>
          <w:tcPr>
            <w:tcW w:w="6269"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1.资金使用单位、基层资金管理单位建立有效资金管理和绩效运行监控机制，且执行情况良好（1分）；</w:t>
            </w:r>
            <w:r>
              <w:rPr>
                <w:rFonts w:hint="eastAsia"/>
                <w:kern w:val="0"/>
                <w:sz w:val="22"/>
                <w:szCs w:val="22"/>
              </w:rPr>
              <w:br w:type="textWrapping"/>
            </w:r>
            <w:r>
              <w:rPr>
                <w:rFonts w:hint="eastAsia"/>
                <w:kern w:val="0"/>
                <w:sz w:val="22"/>
                <w:szCs w:val="22"/>
              </w:rPr>
              <w:t xml:space="preserve"> 2.各主管部门按规定对主管的财政资金（含专项资金和专项经费）开展有效的检查、监控、督促整改（1分），如无法提供开展检查监督相关证明材料，或被评价年度部门主管的专项资金绩效评价结果为差的，得0分。</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2</w:t>
            </w:r>
          </w:p>
        </w:tc>
      </w:tr>
      <w:tr>
        <w:tblPrEx>
          <w:tblCellMar>
            <w:top w:w="0" w:type="dxa"/>
            <w:left w:w="108" w:type="dxa"/>
            <w:bottom w:w="0" w:type="dxa"/>
            <w:right w:w="108" w:type="dxa"/>
          </w:tblCellMar>
        </w:tblPrEx>
        <w:trPr>
          <w:trHeight w:val="509"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restart"/>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资产管理</w:t>
            </w:r>
          </w:p>
        </w:tc>
        <w:tc>
          <w:tcPr>
            <w:tcW w:w="0" w:type="auto"/>
            <w:vMerge w:val="restart"/>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3</w:t>
            </w:r>
          </w:p>
        </w:tc>
        <w:tc>
          <w:tcPr>
            <w:tcW w:w="87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资产管理安全性</w:t>
            </w:r>
          </w:p>
        </w:tc>
        <w:tc>
          <w:tcPr>
            <w:tcW w:w="616"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2</w:t>
            </w:r>
          </w:p>
        </w:tc>
        <w:tc>
          <w:tcPr>
            <w:tcW w:w="340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部门（单位）的资产是否保存完整、使用合规、配置合理、处置规范、收入及时足额上缴，用于反映和考核部门（单位）资产安全运行情况。</w:t>
            </w:r>
          </w:p>
        </w:tc>
        <w:tc>
          <w:tcPr>
            <w:tcW w:w="6269"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1.资产配置合理、保管完整，账实相符（1分）；</w:t>
            </w:r>
            <w:r>
              <w:rPr>
                <w:rFonts w:hint="eastAsia"/>
                <w:kern w:val="0"/>
                <w:sz w:val="22"/>
                <w:szCs w:val="22"/>
              </w:rPr>
              <w:br w:type="textWrapping"/>
            </w:r>
            <w:r>
              <w:rPr>
                <w:rFonts w:hint="eastAsia"/>
                <w:kern w:val="0"/>
                <w:sz w:val="22"/>
                <w:szCs w:val="22"/>
              </w:rPr>
              <w:t>2.资产处置规范，有偿使用及处置收入及时足额上缴（1分）。</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2</w:t>
            </w:r>
          </w:p>
        </w:tc>
      </w:tr>
      <w:tr>
        <w:tblPrEx>
          <w:tblCellMar>
            <w:top w:w="0" w:type="dxa"/>
            <w:left w:w="108" w:type="dxa"/>
            <w:bottom w:w="0" w:type="dxa"/>
            <w:right w:w="108" w:type="dxa"/>
          </w:tblCellMar>
        </w:tblPrEx>
        <w:trPr>
          <w:trHeight w:val="1314"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87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固定资产利用率</w:t>
            </w:r>
          </w:p>
        </w:tc>
        <w:tc>
          <w:tcPr>
            <w:tcW w:w="616"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w:t>
            </w:r>
          </w:p>
        </w:tc>
        <w:tc>
          <w:tcPr>
            <w:tcW w:w="340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部门（单位）实际在用固定资产总额与所有固定资产总额的比例，用以反映和考核部门（单位）固定资产使用效率程度。</w:t>
            </w:r>
          </w:p>
        </w:tc>
        <w:tc>
          <w:tcPr>
            <w:tcW w:w="6269"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 xml:space="preserve">固定资产利用率=（实际在用固定资产总额/所有固定资产总额）×100%    </w:t>
            </w:r>
          </w:p>
          <w:p>
            <w:pPr>
              <w:widowControl/>
              <w:spacing w:line="320" w:lineRule="exact"/>
              <w:ind w:firstLine="0" w:firstLineChars="0"/>
              <w:rPr>
                <w:kern w:val="0"/>
                <w:sz w:val="22"/>
                <w:szCs w:val="22"/>
              </w:rPr>
            </w:pPr>
            <w:r>
              <w:rPr>
                <w:rFonts w:hint="eastAsia"/>
                <w:kern w:val="0"/>
                <w:sz w:val="22"/>
                <w:szCs w:val="22"/>
              </w:rPr>
              <w:t>1.固定资产利用率≥90%的，得1分；</w:t>
            </w:r>
            <w:r>
              <w:rPr>
                <w:rFonts w:hint="eastAsia"/>
                <w:kern w:val="0"/>
                <w:sz w:val="22"/>
                <w:szCs w:val="22"/>
              </w:rPr>
              <w:br w:type="textWrapping"/>
            </w:r>
            <w:r>
              <w:rPr>
                <w:rFonts w:hint="eastAsia"/>
                <w:kern w:val="0"/>
                <w:sz w:val="22"/>
                <w:szCs w:val="22"/>
              </w:rPr>
              <w:t>2.90%＞固定资产利用率≥75%的，得0.7分；</w:t>
            </w:r>
            <w:r>
              <w:rPr>
                <w:rFonts w:hint="eastAsia"/>
                <w:kern w:val="0"/>
                <w:sz w:val="22"/>
                <w:szCs w:val="22"/>
              </w:rPr>
              <w:br w:type="textWrapping"/>
            </w:r>
            <w:r>
              <w:rPr>
                <w:rFonts w:hint="eastAsia"/>
                <w:kern w:val="0"/>
                <w:sz w:val="22"/>
                <w:szCs w:val="22"/>
              </w:rPr>
              <w:t>3.75%＞固定资产利用率≥60%的，得0.4分；</w:t>
            </w:r>
            <w:r>
              <w:rPr>
                <w:rFonts w:hint="eastAsia"/>
                <w:kern w:val="0"/>
                <w:sz w:val="22"/>
                <w:szCs w:val="22"/>
              </w:rPr>
              <w:br w:type="textWrapping"/>
            </w:r>
            <w:r>
              <w:rPr>
                <w:rFonts w:hint="eastAsia"/>
                <w:kern w:val="0"/>
                <w:sz w:val="22"/>
                <w:szCs w:val="22"/>
              </w:rPr>
              <w:t>4.固定资产利用率＜60%的，得0分。</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w:t>
            </w:r>
          </w:p>
        </w:tc>
      </w:tr>
      <w:tr>
        <w:tblPrEx>
          <w:tblCellMar>
            <w:top w:w="0" w:type="dxa"/>
            <w:left w:w="108" w:type="dxa"/>
            <w:bottom w:w="0" w:type="dxa"/>
            <w:right w:w="108" w:type="dxa"/>
          </w:tblCellMar>
        </w:tblPrEx>
        <w:trPr>
          <w:trHeight w:val="1559"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restart"/>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人员管理</w:t>
            </w:r>
          </w:p>
        </w:tc>
        <w:tc>
          <w:tcPr>
            <w:tcW w:w="0" w:type="auto"/>
            <w:vMerge w:val="restart"/>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2</w:t>
            </w:r>
          </w:p>
        </w:tc>
        <w:tc>
          <w:tcPr>
            <w:tcW w:w="874" w:type="dxa"/>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财政供养人员控制率</w:t>
            </w:r>
          </w:p>
        </w:tc>
        <w:tc>
          <w:tcPr>
            <w:tcW w:w="616" w:type="dxa"/>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w:t>
            </w:r>
          </w:p>
        </w:tc>
        <w:tc>
          <w:tcPr>
            <w:tcW w:w="3404" w:type="dxa"/>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部门（单位）本年度在编人数（含工勤人员）与核定编制数（含工勤人员）的比率。</w:t>
            </w:r>
          </w:p>
        </w:tc>
        <w:tc>
          <w:tcPr>
            <w:tcW w:w="6269" w:type="dxa"/>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财政供养人员控制率=本年度在编人数（含工勤人员）/核定编制数（含工勤人员）</w:t>
            </w:r>
          </w:p>
          <w:p>
            <w:pPr>
              <w:widowControl/>
              <w:spacing w:line="320" w:lineRule="exact"/>
              <w:ind w:firstLine="0" w:firstLineChars="0"/>
              <w:rPr>
                <w:kern w:val="0"/>
                <w:sz w:val="22"/>
                <w:szCs w:val="22"/>
              </w:rPr>
            </w:pPr>
            <w:r>
              <w:rPr>
                <w:rFonts w:hint="eastAsia"/>
                <w:kern w:val="0"/>
                <w:sz w:val="22"/>
                <w:szCs w:val="22"/>
              </w:rPr>
              <w:t>1.财政供养人员控制率≤100%的，得1分；</w:t>
            </w:r>
          </w:p>
          <w:p>
            <w:pPr>
              <w:widowControl/>
              <w:spacing w:line="320" w:lineRule="exact"/>
              <w:ind w:firstLine="0" w:firstLineChars="0"/>
              <w:rPr>
                <w:kern w:val="0"/>
                <w:sz w:val="22"/>
                <w:szCs w:val="22"/>
              </w:rPr>
            </w:pPr>
            <w:r>
              <w:rPr>
                <w:rFonts w:hint="eastAsia"/>
                <w:kern w:val="0"/>
                <w:sz w:val="22"/>
                <w:szCs w:val="22"/>
              </w:rPr>
              <w:t>2.财政供养人员控制率＞100%的，得0分。</w:t>
            </w:r>
          </w:p>
        </w:tc>
        <w:tc>
          <w:tcPr>
            <w:tcW w:w="0" w:type="auto"/>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w:t>
            </w:r>
          </w:p>
        </w:tc>
      </w:tr>
      <w:tr>
        <w:tblPrEx>
          <w:tblCellMar>
            <w:top w:w="0" w:type="dxa"/>
            <w:left w:w="108" w:type="dxa"/>
            <w:bottom w:w="0" w:type="dxa"/>
            <w:right w:w="108" w:type="dxa"/>
          </w:tblCellMar>
        </w:tblPrEx>
        <w:trPr>
          <w:trHeight w:val="1267"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874" w:type="dxa"/>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编外人员控制率</w:t>
            </w:r>
          </w:p>
        </w:tc>
        <w:tc>
          <w:tcPr>
            <w:tcW w:w="616" w:type="dxa"/>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w:t>
            </w:r>
          </w:p>
        </w:tc>
        <w:tc>
          <w:tcPr>
            <w:tcW w:w="3404" w:type="dxa"/>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部门（单位）本年度使用劳务派遣人员数量（含直接聘用的编外人员）与在职人员总数（在编+编外）的比率。</w:t>
            </w:r>
          </w:p>
        </w:tc>
        <w:tc>
          <w:tcPr>
            <w:tcW w:w="6269" w:type="dxa"/>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1.比率＜5%的，得1分；</w:t>
            </w:r>
          </w:p>
          <w:p>
            <w:pPr>
              <w:widowControl/>
              <w:spacing w:line="320" w:lineRule="exact"/>
              <w:ind w:firstLine="0" w:firstLineChars="0"/>
              <w:rPr>
                <w:kern w:val="0"/>
                <w:sz w:val="22"/>
                <w:szCs w:val="22"/>
              </w:rPr>
            </w:pPr>
            <w:r>
              <w:rPr>
                <w:rFonts w:hint="eastAsia"/>
                <w:kern w:val="0"/>
                <w:sz w:val="22"/>
                <w:szCs w:val="22"/>
              </w:rPr>
              <w:t>2.5%≤比率≤10%的，得0.5分；</w:t>
            </w:r>
            <w:r>
              <w:rPr>
                <w:rFonts w:hint="eastAsia"/>
                <w:kern w:val="0"/>
                <w:sz w:val="22"/>
                <w:szCs w:val="22"/>
              </w:rPr>
              <w:br w:type="textWrapping"/>
            </w:r>
            <w:r>
              <w:rPr>
                <w:rFonts w:hint="eastAsia"/>
                <w:kern w:val="0"/>
                <w:sz w:val="22"/>
                <w:szCs w:val="22"/>
              </w:rPr>
              <w:t>3.比率＞10%的，得0分。</w:t>
            </w:r>
          </w:p>
        </w:tc>
        <w:tc>
          <w:tcPr>
            <w:tcW w:w="0" w:type="auto"/>
            <w:tcBorders>
              <w:top w:val="single" w:color="auto" w:sz="4" w:space="0"/>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w:t>
            </w:r>
          </w:p>
        </w:tc>
      </w:tr>
      <w:tr>
        <w:tblPrEx>
          <w:tblCellMar>
            <w:top w:w="0" w:type="dxa"/>
            <w:left w:w="108" w:type="dxa"/>
            <w:bottom w:w="0" w:type="dxa"/>
            <w:right w:w="108" w:type="dxa"/>
          </w:tblCellMar>
        </w:tblPrEx>
        <w:trPr>
          <w:trHeight w:val="1521"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制度管理</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3</w:t>
            </w:r>
          </w:p>
        </w:tc>
        <w:tc>
          <w:tcPr>
            <w:tcW w:w="87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管理制度健全性</w:t>
            </w:r>
          </w:p>
        </w:tc>
        <w:tc>
          <w:tcPr>
            <w:tcW w:w="616"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3</w:t>
            </w:r>
          </w:p>
        </w:tc>
        <w:tc>
          <w:tcPr>
            <w:tcW w:w="340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部门（单位）制定了相应的预算资金、财务管理和预算绩效管理等制度并严格执行，用以反映部门（单位）的管理制度对其完成主要职责和促进事业发展的保障情况。</w:t>
            </w:r>
          </w:p>
        </w:tc>
        <w:tc>
          <w:tcPr>
            <w:tcW w:w="6269" w:type="dxa"/>
            <w:tcBorders>
              <w:top w:val="nil"/>
              <w:left w:val="nil"/>
              <w:bottom w:val="single" w:color="auto" w:sz="4" w:space="0"/>
              <w:right w:val="single" w:color="auto" w:sz="4" w:space="0"/>
            </w:tcBorders>
          </w:tcPr>
          <w:p>
            <w:pPr>
              <w:widowControl/>
              <w:spacing w:line="320" w:lineRule="exact"/>
              <w:ind w:firstLine="0" w:firstLineChars="0"/>
              <w:rPr>
                <w:kern w:val="0"/>
                <w:sz w:val="22"/>
                <w:szCs w:val="22"/>
              </w:rPr>
            </w:pPr>
            <w:r>
              <w:rPr>
                <w:rFonts w:hint="eastAsia"/>
                <w:kern w:val="0"/>
                <w:sz w:val="22"/>
                <w:szCs w:val="22"/>
              </w:rPr>
              <w:t>1.部门制定了财政资金管理、财务管理、内部控制等制度（0.5分）；</w:t>
            </w:r>
            <w:r>
              <w:rPr>
                <w:rFonts w:hint="eastAsia"/>
                <w:kern w:val="0"/>
                <w:sz w:val="22"/>
                <w:szCs w:val="22"/>
              </w:rPr>
              <w:br w:type="textWrapping"/>
            </w:r>
            <w:r>
              <w:rPr>
                <w:rFonts w:hint="eastAsia"/>
                <w:kern w:val="0"/>
                <w:sz w:val="22"/>
                <w:szCs w:val="22"/>
              </w:rPr>
              <w:t>2.上述财政资金管理、财务管理、内部控制等制度得到有效执行（1.5分）；</w:t>
            </w:r>
            <w:r>
              <w:rPr>
                <w:rFonts w:hint="eastAsia"/>
                <w:kern w:val="0"/>
                <w:sz w:val="22"/>
                <w:szCs w:val="22"/>
              </w:rPr>
              <w:br w:type="textWrapping"/>
            </w:r>
            <w:r>
              <w:rPr>
                <w:rFonts w:hint="eastAsia"/>
                <w:kern w:val="0"/>
                <w:sz w:val="22"/>
                <w:szCs w:val="22"/>
              </w:rPr>
              <w:t>3.部门按照预算和绩效管理一体化的要求制定本部门全面实施预算绩效管理的制度或工作方案，组织指导本级及下属单位开展事前评估、绩效目标编报、绩效监控、绩效评价和评价结果应用等工作（1分）。</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3</w:t>
            </w:r>
          </w:p>
        </w:tc>
      </w:tr>
      <w:tr>
        <w:tblPrEx>
          <w:tblCellMar>
            <w:top w:w="0" w:type="dxa"/>
            <w:left w:w="108" w:type="dxa"/>
            <w:bottom w:w="0" w:type="dxa"/>
            <w:right w:w="108" w:type="dxa"/>
          </w:tblCellMar>
        </w:tblPrEx>
        <w:trPr>
          <w:trHeight w:val="360" w:hRule="atLeast"/>
        </w:trPr>
        <w:tc>
          <w:tcPr>
            <w:tcW w:w="0" w:type="auto"/>
            <w:vMerge w:val="restart"/>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部门绩效</w:t>
            </w:r>
          </w:p>
        </w:tc>
        <w:tc>
          <w:tcPr>
            <w:tcW w:w="0" w:type="auto"/>
            <w:vMerge w:val="restart"/>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60</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经济性</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6</w:t>
            </w:r>
          </w:p>
        </w:tc>
        <w:tc>
          <w:tcPr>
            <w:tcW w:w="87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公用经费控制率</w:t>
            </w:r>
          </w:p>
        </w:tc>
        <w:tc>
          <w:tcPr>
            <w:tcW w:w="616"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6</w:t>
            </w:r>
          </w:p>
        </w:tc>
        <w:tc>
          <w:tcPr>
            <w:tcW w:w="340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部门（单位）本年度实际支出的公用经费总额与预算安排的公用经费总额的比率，用以反映和考核部门（单位）对机构运转成本的实际控制程度。</w:t>
            </w:r>
          </w:p>
        </w:tc>
        <w:tc>
          <w:tcPr>
            <w:tcW w:w="6269"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1.“三公”经费控制率=“三公”经费实际支出数/“三公”经费预算安排数×100%</w:t>
            </w:r>
          </w:p>
          <w:p>
            <w:pPr>
              <w:widowControl/>
              <w:spacing w:line="320" w:lineRule="exact"/>
              <w:ind w:firstLine="0" w:firstLineChars="0"/>
              <w:rPr>
                <w:kern w:val="0"/>
                <w:sz w:val="22"/>
                <w:szCs w:val="22"/>
              </w:rPr>
            </w:pPr>
            <w:r>
              <w:rPr>
                <w:rFonts w:hint="eastAsia"/>
                <w:kern w:val="0"/>
                <w:sz w:val="22"/>
                <w:szCs w:val="22"/>
              </w:rPr>
              <w:t>（1）“三公”经费控制率＜90%的，得3分；</w:t>
            </w:r>
          </w:p>
          <w:p>
            <w:pPr>
              <w:widowControl/>
              <w:spacing w:line="320" w:lineRule="exact"/>
              <w:ind w:firstLine="0" w:firstLineChars="0"/>
              <w:rPr>
                <w:kern w:val="0"/>
                <w:sz w:val="22"/>
                <w:szCs w:val="22"/>
              </w:rPr>
            </w:pPr>
            <w:r>
              <w:rPr>
                <w:rFonts w:hint="eastAsia"/>
                <w:kern w:val="0"/>
                <w:sz w:val="22"/>
                <w:szCs w:val="22"/>
              </w:rPr>
              <w:t>（2）90%≤“三公”经费控制率≤100%的，得2分；</w:t>
            </w:r>
          </w:p>
          <w:p>
            <w:pPr>
              <w:widowControl/>
              <w:spacing w:line="320" w:lineRule="exact"/>
              <w:ind w:firstLine="0" w:firstLineChars="0"/>
              <w:rPr>
                <w:kern w:val="0"/>
                <w:sz w:val="22"/>
                <w:szCs w:val="22"/>
              </w:rPr>
            </w:pPr>
            <w:r>
              <w:rPr>
                <w:rFonts w:hint="eastAsia"/>
                <w:kern w:val="0"/>
                <w:sz w:val="22"/>
                <w:szCs w:val="22"/>
              </w:rPr>
              <w:t>（3）“三公”经费控制率＞100%的，得0分。</w:t>
            </w:r>
            <w:r>
              <w:rPr>
                <w:rFonts w:hint="eastAsia"/>
                <w:kern w:val="0"/>
                <w:sz w:val="22"/>
                <w:szCs w:val="22"/>
              </w:rPr>
              <w:br w:type="textWrapping"/>
            </w:r>
            <w:r>
              <w:rPr>
                <w:rFonts w:hint="eastAsia"/>
                <w:kern w:val="0"/>
                <w:sz w:val="22"/>
                <w:szCs w:val="22"/>
              </w:rPr>
              <w:t>2. 日常公用经费控制率=日常公用经费决算数/日常公用经费调整预算数×100%</w:t>
            </w:r>
          </w:p>
          <w:p>
            <w:pPr>
              <w:widowControl/>
              <w:spacing w:line="320" w:lineRule="exact"/>
              <w:ind w:firstLine="0" w:firstLineChars="0"/>
              <w:rPr>
                <w:kern w:val="0"/>
                <w:sz w:val="22"/>
                <w:szCs w:val="22"/>
              </w:rPr>
            </w:pPr>
            <w:r>
              <w:rPr>
                <w:rFonts w:hint="eastAsia"/>
                <w:kern w:val="0"/>
                <w:sz w:val="22"/>
                <w:szCs w:val="22"/>
              </w:rPr>
              <w:t>（1）日常公用经费控制率＜90%的，得3分；</w:t>
            </w:r>
          </w:p>
          <w:p>
            <w:pPr>
              <w:widowControl/>
              <w:spacing w:line="320" w:lineRule="exact"/>
              <w:ind w:firstLine="0" w:firstLineChars="0"/>
              <w:rPr>
                <w:kern w:val="0"/>
                <w:sz w:val="22"/>
                <w:szCs w:val="22"/>
              </w:rPr>
            </w:pPr>
            <w:r>
              <w:rPr>
                <w:rFonts w:hint="eastAsia"/>
                <w:kern w:val="0"/>
                <w:sz w:val="22"/>
                <w:szCs w:val="22"/>
              </w:rPr>
              <w:t>（2）90%≤日常公用经费控制率≤100%的，得2分；</w:t>
            </w:r>
          </w:p>
          <w:p>
            <w:pPr>
              <w:widowControl/>
              <w:spacing w:line="320" w:lineRule="exact"/>
              <w:ind w:firstLine="0" w:firstLineChars="0"/>
              <w:rPr>
                <w:kern w:val="0"/>
                <w:sz w:val="22"/>
                <w:szCs w:val="22"/>
              </w:rPr>
            </w:pPr>
            <w:r>
              <w:rPr>
                <w:rFonts w:hint="eastAsia"/>
                <w:kern w:val="0"/>
                <w:sz w:val="22"/>
                <w:szCs w:val="22"/>
              </w:rPr>
              <w:t>（3）日常公用经费控制率＞100%的，得0分。</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4</w:t>
            </w:r>
          </w:p>
        </w:tc>
      </w:tr>
      <w:tr>
        <w:tblPrEx>
          <w:tblCellMar>
            <w:top w:w="0" w:type="dxa"/>
            <w:left w:w="108" w:type="dxa"/>
            <w:bottom w:w="0" w:type="dxa"/>
            <w:right w:w="108" w:type="dxa"/>
          </w:tblCellMar>
        </w:tblPrEx>
        <w:trPr>
          <w:trHeight w:val="2767"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restart"/>
            <w:tcBorders>
              <w:top w:val="single" w:color="auto" w:sz="4" w:space="0"/>
              <w:left w:val="single" w:color="auto" w:sz="4" w:space="0"/>
              <w:bottom w:val="single" w:color="auto" w:sz="4" w:space="0"/>
              <w:right w:val="single" w:color="auto" w:sz="4" w:space="0"/>
            </w:tcBorders>
            <w:vAlign w:val="center"/>
          </w:tcPr>
          <w:p>
            <w:pPr>
              <w:spacing w:line="320" w:lineRule="exact"/>
              <w:ind w:firstLine="0" w:firstLineChars="0"/>
              <w:rPr>
                <w:kern w:val="0"/>
                <w:sz w:val="22"/>
                <w:szCs w:val="22"/>
              </w:rPr>
            </w:pPr>
            <w:r>
              <w:rPr>
                <w:rFonts w:hint="eastAsia"/>
                <w:kern w:val="0"/>
                <w:sz w:val="22"/>
                <w:szCs w:val="22"/>
              </w:rPr>
              <w:t>效率性</w:t>
            </w:r>
          </w:p>
        </w:tc>
        <w:tc>
          <w:tcPr>
            <w:tcW w:w="0" w:type="auto"/>
            <w:vMerge w:val="restart"/>
            <w:tcBorders>
              <w:top w:val="single" w:color="auto" w:sz="4" w:space="0"/>
              <w:left w:val="single" w:color="auto" w:sz="4" w:space="0"/>
              <w:bottom w:val="single" w:color="auto" w:sz="4" w:space="0"/>
              <w:right w:val="single" w:color="auto" w:sz="4" w:space="0"/>
            </w:tcBorders>
            <w:vAlign w:val="center"/>
          </w:tcPr>
          <w:p>
            <w:pPr>
              <w:spacing w:line="320" w:lineRule="exact"/>
              <w:ind w:firstLine="0" w:firstLineChars="0"/>
              <w:rPr>
                <w:kern w:val="0"/>
                <w:sz w:val="22"/>
                <w:szCs w:val="22"/>
              </w:rPr>
            </w:pPr>
            <w:r>
              <w:rPr>
                <w:rFonts w:hint="eastAsia"/>
                <w:kern w:val="0"/>
                <w:sz w:val="22"/>
                <w:szCs w:val="22"/>
              </w:rPr>
              <w:t>20</w:t>
            </w:r>
          </w:p>
        </w:tc>
        <w:tc>
          <w:tcPr>
            <w:tcW w:w="87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预算执行率</w:t>
            </w:r>
          </w:p>
        </w:tc>
        <w:tc>
          <w:tcPr>
            <w:tcW w:w="616"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6</w:t>
            </w:r>
          </w:p>
        </w:tc>
        <w:tc>
          <w:tcPr>
            <w:tcW w:w="340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部门（单位）部门预算实际支付进度和既定支付进度的匹配情况，反映和考核部门（单位）预算执行的及时性和均衡性。</w:t>
            </w:r>
          </w:p>
        </w:tc>
        <w:tc>
          <w:tcPr>
            <w:tcW w:w="6269"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1.一季度预算执行率得分=（一季度部门预算支出进度/序时进度25%）×1分</w:t>
            </w:r>
          </w:p>
          <w:p>
            <w:pPr>
              <w:widowControl/>
              <w:spacing w:line="320" w:lineRule="exact"/>
              <w:ind w:firstLine="0" w:firstLineChars="0"/>
              <w:rPr>
                <w:kern w:val="0"/>
                <w:sz w:val="22"/>
                <w:szCs w:val="22"/>
              </w:rPr>
            </w:pPr>
            <w:r>
              <w:rPr>
                <w:rFonts w:hint="eastAsia"/>
                <w:kern w:val="0"/>
                <w:sz w:val="22"/>
                <w:szCs w:val="22"/>
              </w:rPr>
              <w:t>2.二季度预算执行率得分=（二季度部门预算支出进度/序时进度50%）×1分</w:t>
            </w:r>
          </w:p>
          <w:p>
            <w:pPr>
              <w:widowControl/>
              <w:spacing w:line="320" w:lineRule="exact"/>
              <w:ind w:firstLine="0" w:firstLineChars="0"/>
              <w:rPr>
                <w:kern w:val="0"/>
                <w:sz w:val="22"/>
                <w:szCs w:val="22"/>
              </w:rPr>
            </w:pPr>
            <w:r>
              <w:rPr>
                <w:rFonts w:hint="eastAsia"/>
                <w:kern w:val="0"/>
                <w:sz w:val="22"/>
                <w:szCs w:val="22"/>
              </w:rPr>
              <w:t>3.三季度预算执行率得分=（三季度部门预算支出进度/序时进度75%）×1分</w:t>
            </w:r>
          </w:p>
          <w:p>
            <w:pPr>
              <w:widowControl/>
              <w:spacing w:line="320" w:lineRule="exact"/>
              <w:ind w:firstLine="0" w:firstLineChars="0"/>
              <w:rPr>
                <w:kern w:val="0"/>
                <w:sz w:val="22"/>
                <w:szCs w:val="22"/>
              </w:rPr>
            </w:pPr>
            <w:r>
              <w:rPr>
                <w:rFonts w:hint="eastAsia"/>
                <w:kern w:val="0"/>
                <w:sz w:val="22"/>
                <w:szCs w:val="22"/>
              </w:rPr>
              <w:t>4.四季度预算执行率得分=（四季度部门预算支出进度/序时进度100%）×1分</w:t>
            </w:r>
          </w:p>
          <w:p>
            <w:pPr>
              <w:widowControl/>
              <w:spacing w:line="320" w:lineRule="exact"/>
              <w:ind w:firstLine="0" w:firstLineChars="0"/>
              <w:rPr>
                <w:kern w:val="0"/>
                <w:sz w:val="22"/>
                <w:szCs w:val="22"/>
              </w:rPr>
            </w:pPr>
            <w:r>
              <w:rPr>
                <w:rFonts w:hint="eastAsia"/>
                <w:kern w:val="0"/>
                <w:sz w:val="22"/>
                <w:szCs w:val="22"/>
              </w:rPr>
              <w:t>5.全年平均支出进度得分=全年平均执行率×2分</w:t>
            </w:r>
          </w:p>
          <w:p>
            <w:pPr>
              <w:widowControl/>
              <w:spacing w:line="320" w:lineRule="exact"/>
              <w:ind w:firstLine="0" w:firstLineChars="0"/>
              <w:rPr>
                <w:kern w:val="0"/>
                <w:sz w:val="22"/>
                <w:szCs w:val="22"/>
              </w:rPr>
            </w:pPr>
            <w:r>
              <w:rPr>
                <w:rFonts w:hint="eastAsia"/>
                <w:kern w:val="0"/>
                <w:sz w:val="22"/>
                <w:szCs w:val="22"/>
              </w:rPr>
              <w:t>其中：全年平均执行率=∑（每个季度的执行率）÷4</w:t>
            </w:r>
          </w:p>
          <w:p>
            <w:pPr>
              <w:widowControl/>
              <w:spacing w:line="320" w:lineRule="exact"/>
              <w:ind w:firstLine="0" w:firstLineChars="0"/>
              <w:rPr>
                <w:kern w:val="0"/>
                <w:sz w:val="22"/>
                <w:szCs w:val="22"/>
              </w:rPr>
            </w:pPr>
            <w:r>
              <w:rPr>
                <w:rFonts w:hint="eastAsia"/>
                <w:kern w:val="0"/>
                <w:sz w:val="22"/>
                <w:szCs w:val="22"/>
              </w:rPr>
              <w:t>季度支出进度=季度末月份累计支出进度（即3、6、9、12月月末支出进度）</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5.56</w:t>
            </w:r>
          </w:p>
        </w:tc>
      </w:tr>
      <w:tr>
        <w:tblPrEx>
          <w:tblCellMar>
            <w:top w:w="0" w:type="dxa"/>
            <w:left w:w="108" w:type="dxa"/>
            <w:bottom w:w="0" w:type="dxa"/>
            <w:right w:w="108" w:type="dxa"/>
          </w:tblCellMar>
        </w:tblPrEx>
        <w:trPr>
          <w:trHeight w:val="921"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87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重点工作完成情况</w:t>
            </w:r>
          </w:p>
        </w:tc>
        <w:tc>
          <w:tcPr>
            <w:tcW w:w="616"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8</w:t>
            </w:r>
          </w:p>
        </w:tc>
        <w:tc>
          <w:tcPr>
            <w:tcW w:w="3404" w:type="dxa"/>
            <w:tcBorders>
              <w:top w:val="nil"/>
              <w:left w:val="nil"/>
              <w:bottom w:val="single" w:color="auto" w:sz="4" w:space="0"/>
              <w:right w:val="single" w:color="auto" w:sz="4" w:space="0"/>
            </w:tcBorders>
            <w:vAlign w:val="center"/>
          </w:tcPr>
          <w:p>
            <w:pPr>
              <w:widowControl/>
              <w:spacing w:line="320" w:lineRule="exact"/>
              <w:ind w:firstLine="0" w:firstLineChars="0"/>
              <w:rPr>
                <w:color w:val="000000"/>
                <w:kern w:val="0"/>
                <w:sz w:val="22"/>
                <w:szCs w:val="22"/>
              </w:rPr>
            </w:pPr>
            <w:r>
              <w:rPr>
                <w:rFonts w:hint="eastAsia"/>
                <w:color w:val="000000"/>
                <w:kern w:val="0"/>
                <w:sz w:val="22"/>
                <w:szCs w:val="22"/>
              </w:rPr>
              <w:t>部门（单位）完成党委、政府、人大和上级部门下达或交办的重要事项或工作的完成情况，反映部门对重点工作的办理落实程度。</w:t>
            </w:r>
          </w:p>
        </w:tc>
        <w:tc>
          <w:tcPr>
            <w:tcW w:w="6269"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重点工作是指中央和省相关部门、市委、市政府、市人大交办或下达的工作任务。全部按期保质保量完成得8分；一项重点工作没有完成扣4分，扣完为止。</w:t>
            </w:r>
          </w:p>
          <w:p>
            <w:pPr>
              <w:widowControl/>
              <w:spacing w:line="320" w:lineRule="exact"/>
              <w:ind w:firstLine="0" w:firstLineChars="0"/>
              <w:rPr>
                <w:kern w:val="0"/>
                <w:sz w:val="22"/>
                <w:szCs w:val="22"/>
              </w:rPr>
            </w:pPr>
            <w:r>
              <w:rPr>
                <w:rFonts w:hint="eastAsia"/>
                <w:kern w:val="0"/>
                <w:sz w:val="22"/>
                <w:szCs w:val="22"/>
              </w:rPr>
              <w:t>注：重点工作完成情况可以参考市委市政府督查部门或其他权威部门的统计数据（如有）。</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8</w:t>
            </w:r>
          </w:p>
        </w:tc>
      </w:tr>
      <w:tr>
        <w:tblPrEx>
          <w:tblCellMar>
            <w:top w:w="0" w:type="dxa"/>
            <w:left w:w="108" w:type="dxa"/>
            <w:bottom w:w="0" w:type="dxa"/>
            <w:right w:w="108" w:type="dxa"/>
          </w:tblCellMar>
        </w:tblPrEx>
        <w:trPr>
          <w:trHeight w:val="892"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87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项目完成及时性</w:t>
            </w:r>
          </w:p>
        </w:tc>
        <w:tc>
          <w:tcPr>
            <w:tcW w:w="616"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6</w:t>
            </w:r>
          </w:p>
        </w:tc>
        <w:tc>
          <w:tcPr>
            <w:tcW w:w="340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部门（单位）项目完成情况与预期时间对比的情况。</w:t>
            </w:r>
          </w:p>
        </w:tc>
        <w:tc>
          <w:tcPr>
            <w:tcW w:w="6269"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1.所有部门预算安排的项目均按计划时间完成（6分）；</w:t>
            </w:r>
          </w:p>
          <w:p>
            <w:pPr>
              <w:widowControl/>
              <w:spacing w:line="320" w:lineRule="exact"/>
              <w:ind w:firstLine="0" w:firstLineChars="0"/>
              <w:rPr>
                <w:kern w:val="0"/>
                <w:sz w:val="22"/>
                <w:szCs w:val="22"/>
              </w:rPr>
            </w:pPr>
            <w:r>
              <w:rPr>
                <w:rFonts w:hint="eastAsia"/>
                <w:kern w:val="0"/>
                <w:sz w:val="22"/>
                <w:szCs w:val="22"/>
              </w:rPr>
              <w:t>2.部分项目未按计划时间完成的，本指标得分=已完成项目数/计划完成项目总数×6分。</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6</w:t>
            </w:r>
          </w:p>
        </w:tc>
      </w:tr>
      <w:tr>
        <w:tblPrEx>
          <w:tblCellMar>
            <w:top w:w="0" w:type="dxa"/>
            <w:left w:w="108" w:type="dxa"/>
            <w:bottom w:w="0" w:type="dxa"/>
            <w:right w:w="108" w:type="dxa"/>
          </w:tblCellMar>
        </w:tblPrEx>
        <w:trPr>
          <w:trHeight w:val="667"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效果性</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25</w:t>
            </w:r>
          </w:p>
        </w:tc>
        <w:tc>
          <w:tcPr>
            <w:tcW w:w="87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社会效益、经济效益、生态效益及可持续影响等</w:t>
            </w:r>
          </w:p>
        </w:tc>
        <w:tc>
          <w:tcPr>
            <w:tcW w:w="616"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25</w:t>
            </w:r>
          </w:p>
        </w:tc>
        <w:tc>
          <w:tcPr>
            <w:tcW w:w="340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部门（单位）履行职责、完成各项重大政策和项目的效果，以及对经济发展、社会发展、生态环境所带来的直接或间接影响。</w:t>
            </w:r>
          </w:p>
        </w:tc>
        <w:tc>
          <w:tcPr>
            <w:tcW w:w="6269"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根据部门（单位）职责，结合部门整体支出绩效目标，合理设置个性化绩效指标，通过绩效指标完成情况与目标值对比分析进行评分，未实现绩效目标的酌情扣分。</w:t>
            </w:r>
          </w:p>
          <w:p>
            <w:pPr>
              <w:widowControl/>
              <w:spacing w:line="320" w:lineRule="exact"/>
              <w:ind w:firstLine="0" w:firstLineChars="0"/>
              <w:rPr>
                <w:kern w:val="0"/>
                <w:sz w:val="22"/>
                <w:szCs w:val="22"/>
              </w:rPr>
            </w:pPr>
            <w:r>
              <w:rPr>
                <w:rFonts w:hint="eastAsia"/>
                <w:kern w:val="0"/>
                <w:sz w:val="22"/>
                <w:szCs w:val="22"/>
              </w:rPr>
              <w:t>根据部门（部门）履职内容和性质，从社会效益、经济效益、生态效益、可持续影响等方面，至少选择三个方面对工作实效和效益进行评价。</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25</w:t>
            </w:r>
          </w:p>
        </w:tc>
      </w:tr>
      <w:tr>
        <w:tblPrEx>
          <w:tblCellMar>
            <w:top w:w="0" w:type="dxa"/>
            <w:left w:w="108" w:type="dxa"/>
            <w:bottom w:w="0" w:type="dxa"/>
            <w:right w:w="108" w:type="dxa"/>
          </w:tblCellMar>
        </w:tblPrEx>
        <w:trPr>
          <w:trHeight w:val="1214"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restart"/>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公平性</w:t>
            </w:r>
          </w:p>
        </w:tc>
        <w:tc>
          <w:tcPr>
            <w:tcW w:w="0" w:type="auto"/>
            <w:vMerge w:val="restart"/>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9</w:t>
            </w:r>
          </w:p>
        </w:tc>
        <w:tc>
          <w:tcPr>
            <w:tcW w:w="87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群众信访办理情况</w:t>
            </w:r>
          </w:p>
        </w:tc>
        <w:tc>
          <w:tcPr>
            <w:tcW w:w="616"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3</w:t>
            </w:r>
          </w:p>
        </w:tc>
        <w:tc>
          <w:tcPr>
            <w:tcW w:w="340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部门（单位）对群众信访意见的完成情况及及时性，反映部门（单位）对服务群众的重视程度。</w:t>
            </w:r>
          </w:p>
        </w:tc>
        <w:tc>
          <w:tcPr>
            <w:tcW w:w="6269"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1.建立了便利的群众意见反映渠道和群众意见办理回复机制（1分）；</w:t>
            </w:r>
          </w:p>
          <w:p>
            <w:pPr>
              <w:widowControl/>
              <w:spacing w:line="320" w:lineRule="exact"/>
              <w:ind w:firstLine="0" w:firstLineChars="0"/>
              <w:rPr>
                <w:kern w:val="0"/>
                <w:sz w:val="22"/>
                <w:szCs w:val="22"/>
              </w:rPr>
            </w:pPr>
            <w:r>
              <w:rPr>
                <w:rFonts w:hint="eastAsia"/>
                <w:kern w:val="0"/>
                <w:sz w:val="22"/>
                <w:szCs w:val="22"/>
              </w:rPr>
              <w:t>2.当年度群众信访办理回复率达100%（1分）；</w:t>
            </w:r>
          </w:p>
          <w:p>
            <w:pPr>
              <w:widowControl/>
              <w:spacing w:line="320" w:lineRule="exact"/>
              <w:ind w:firstLine="0" w:firstLineChars="0"/>
              <w:rPr>
                <w:kern w:val="0"/>
                <w:sz w:val="22"/>
                <w:szCs w:val="22"/>
              </w:rPr>
            </w:pPr>
            <w:r>
              <w:rPr>
                <w:rFonts w:hint="eastAsia"/>
                <w:kern w:val="0"/>
                <w:sz w:val="22"/>
                <w:szCs w:val="22"/>
              </w:rPr>
              <w:t>3.当年度群众信访及时办理回复率达100%，未发生超期（1分）。</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3</w:t>
            </w:r>
          </w:p>
        </w:tc>
      </w:tr>
      <w:tr>
        <w:tblPrEx>
          <w:tblCellMar>
            <w:top w:w="0" w:type="dxa"/>
            <w:left w:w="108" w:type="dxa"/>
            <w:bottom w:w="0" w:type="dxa"/>
            <w:right w:w="108" w:type="dxa"/>
          </w:tblCellMar>
        </w:tblPrEx>
        <w:trPr>
          <w:trHeight w:val="1401"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0" w:type="auto"/>
            <w:vMerge w:val="continue"/>
            <w:tcBorders>
              <w:top w:val="nil"/>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p>
        </w:tc>
        <w:tc>
          <w:tcPr>
            <w:tcW w:w="87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公众或服务对象满意度</w:t>
            </w:r>
          </w:p>
        </w:tc>
        <w:tc>
          <w:tcPr>
            <w:tcW w:w="616"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6</w:t>
            </w:r>
          </w:p>
        </w:tc>
        <w:tc>
          <w:tcPr>
            <w:tcW w:w="3404"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反映社会公众或部门（单位）的服务对象对部门履职效果的满意度。</w:t>
            </w:r>
          </w:p>
        </w:tc>
        <w:tc>
          <w:tcPr>
            <w:tcW w:w="6269" w:type="dxa"/>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6</w:t>
            </w:r>
          </w:p>
        </w:tc>
        <w:tc>
          <w:tcPr>
            <w:tcW w:w="0" w:type="auto"/>
            <w:tcBorders>
              <w:top w:val="nil"/>
              <w:left w:val="nil"/>
              <w:bottom w:val="single" w:color="auto" w:sz="4" w:space="0"/>
              <w:right w:val="single" w:color="auto" w:sz="4" w:space="0"/>
            </w:tcBorders>
            <w:vAlign w:val="center"/>
          </w:tcPr>
          <w:p>
            <w:pPr>
              <w:widowControl/>
              <w:spacing w:line="320" w:lineRule="exact"/>
              <w:ind w:firstLine="0" w:firstLineChars="0"/>
              <w:rPr>
                <w:kern w:val="0"/>
                <w:sz w:val="22"/>
                <w:szCs w:val="22"/>
              </w:rPr>
            </w:pPr>
            <w:r>
              <w:rPr>
                <w:kern w:val="0"/>
                <w:sz w:val="22"/>
                <w:szCs w:val="22"/>
              </w:rPr>
              <w:t>6</w:t>
            </w:r>
          </w:p>
        </w:tc>
      </w:tr>
      <w:tr>
        <w:tblPrEx>
          <w:tblCellMar>
            <w:top w:w="0" w:type="dxa"/>
            <w:left w:w="108" w:type="dxa"/>
            <w:bottom w:w="0" w:type="dxa"/>
            <w:right w:w="108" w:type="dxa"/>
          </w:tblCellMar>
        </w:tblPrEx>
        <w:trPr>
          <w:trHeight w:val="445" w:hRule="atLeast"/>
        </w:trPr>
        <w:tc>
          <w:tcPr>
            <w:tcW w:w="0" w:type="auto"/>
            <w:gridSpan w:val="3"/>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lang w:eastAsia="zh-Hans"/>
              </w:rPr>
            </w:pPr>
            <w:r>
              <w:rPr>
                <w:rFonts w:hint="eastAsia"/>
                <w:kern w:val="0"/>
                <w:sz w:val="22"/>
                <w:szCs w:val="22"/>
                <w:lang w:eastAsia="zh-Hans"/>
              </w:rPr>
              <w:t>总分</w:t>
            </w: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kern w:val="0"/>
                <w:sz w:val="22"/>
                <w:szCs w:val="22"/>
              </w:rPr>
              <w:t>100</w:t>
            </w:r>
          </w:p>
        </w:tc>
        <w:tc>
          <w:tcPr>
            <w:tcW w:w="87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kern w:val="0"/>
                <w:sz w:val="22"/>
                <w:szCs w:val="22"/>
              </w:rPr>
              <w:t>——</w:t>
            </w:r>
          </w:p>
        </w:tc>
        <w:tc>
          <w:tcPr>
            <w:tcW w:w="616"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kern w:val="0"/>
                <w:sz w:val="22"/>
                <w:szCs w:val="22"/>
              </w:rPr>
              <w:t>100</w:t>
            </w:r>
          </w:p>
        </w:tc>
        <w:tc>
          <w:tcPr>
            <w:tcW w:w="3404"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kern w:val="0"/>
                <w:sz w:val="22"/>
                <w:szCs w:val="22"/>
              </w:rPr>
              <w:t>——</w:t>
            </w:r>
          </w:p>
        </w:tc>
        <w:tc>
          <w:tcPr>
            <w:tcW w:w="6269" w:type="dxa"/>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kern w:val="0"/>
                <w:sz w:val="22"/>
                <w:szCs w:val="22"/>
              </w:rPr>
              <w:t>——</w:t>
            </w:r>
          </w:p>
        </w:tc>
        <w:tc>
          <w:tcPr>
            <w:tcW w:w="0" w:type="auto"/>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0" w:firstLineChars="0"/>
              <w:rPr>
                <w:kern w:val="0"/>
                <w:sz w:val="22"/>
                <w:szCs w:val="22"/>
              </w:rPr>
            </w:pPr>
            <w:r>
              <w:rPr>
                <w:rFonts w:hint="eastAsia"/>
                <w:kern w:val="0"/>
                <w:sz w:val="22"/>
                <w:szCs w:val="22"/>
              </w:rPr>
              <w:t>9</w:t>
            </w:r>
            <w:r>
              <w:rPr>
                <w:kern w:val="0"/>
                <w:sz w:val="22"/>
                <w:szCs w:val="22"/>
              </w:rPr>
              <w:t>7</w:t>
            </w:r>
            <w:r>
              <w:rPr>
                <w:rFonts w:hint="eastAsia"/>
                <w:kern w:val="0"/>
                <w:sz w:val="22"/>
                <w:szCs w:val="22"/>
              </w:rPr>
              <w:t>.44</w:t>
            </w:r>
          </w:p>
        </w:tc>
      </w:tr>
    </w:tbl>
    <w:p>
      <w:pPr>
        <w:spacing w:line="320" w:lineRule="exact"/>
        <w:ind w:firstLine="480"/>
        <w:rPr>
          <w:rFonts w:ascii="Times New Roman Regular" w:hAnsi="Times New Roman Regular" w:cs="Times New Roman Regular"/>
          <w:sz w:val="24"/>
          <w:szCs w:val="21"/>
        </w:rPr>
      </w:pPr>
      <w:r>
        <w:rPr>
          <w:rFonts w:ascii="Times New Roman Regular" w:hAnsi="Times New Roman Regular" w:cs="Times New Roman Regular"/>
          <w:sz w:val="24"/>
          <w:szCs w:val="21"/>
        </w:rPr>
        <w:t>附注：1.《部门整体支出绩效评价共性指标体系框架》的适用对象是部门和单位；</w:t>
      </w:r>
    </w:p>
    <w:p>
      <w:pPr>
        <w:spacing w:line="320" w:lineRule="exact"/>
        <w:ind w:firstLine="480"/>
        <w:rPr>
          <w:rFonts w:ascii="Times New Roman Regular" w:hAnsi="Times New Roman Regular" w:cs="Times New Roman Regular"/>
          <w:sz w:val="18"/>
          <w:szCs w:val="18"/>
        </w:rPr>
      </w:pPr>
      <w:r>
        <w:rPr>
          <w:rFonts w:ascii="Times New Roman Regular" w:hAnsi="Times New Roman Regular" w:cs="Times New Roman Regular"/>
          <w:sz w:val="24"/>
          <w:szCs w:val="21"/>
        </w:rPr>
        <w:t xml:space="preserve">      2.各项指标的分值是参考分值，各部门各单位在开展绩效评价时可结合不同评价对象的特点，赋予评价指标科学合理的权重分值，明确具体的评分标准。</w:t>
      </w:r>
    </w:p>
    <w:sectPr>
      <w:footerReference r:id="rId12" w:type="default"/>
      <w:pgSz w:w="16838" w:h="11906" w:orient="landscape"/>
      <w:pgMar w:top="1797" w:right="1440" w:bottom="1797" w:left="1440" w:header="851" w:footer="992" w:gutter="0"/>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imes New Roman Regular">
    <w:altName w:val="Times New Roman"/>
    <w:panose1 w:val="00000000000000000000"/>
    <w:charset w:val="00"/>
    <w:family w:val="auto"/>
    <w:pitch w:val="default"/>
    <w:sig w:usb0="00000000" w:usb1="00000000" w:usb2="00000001" w:usb3="00000000" w:csb0="400001BF" w:csb1="DFF70000"/>
  </w:font>
  <w:font w:name="方正小标宋简体">
    <w:panose1 w:val="02000000000000000000"/>
    <w:charset w:val="86"/>
    <w:family w:val="auto"/>
    <w:pitch w:val="default"/>
    <w:sig w:usb0="00000001" w:usb1="080E0000" w:usb2="00000000" w:usb3="00000000" w:csb0="00040000" w:csb1="00000000"/>
  </w:font>
  <w:font w:name="Adobe 楷体 Std R">
    <w:altName w:val="楷体_GB2312"/>
    <w:panose1 w:val="00000000000000000000"/>
    <w:charset w:val="86"/>
    <w:family w:val="roman"/>
    <w:pitch w:val="default"/>
    <w:sig w:usb0="00000000" w:usb1="00000000" w:usb2="00000010" w:usb3="00000000" w:csb0="00060007" w:csb1="00000000"/>
  </w:font>
  <w:font w:name="方正仿宋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92493432"/>
      <w:docPartObj>
        <w:docPartGallery w:val="autotext"/>
      </w:docPartObj>
    </w:sdtPr>
    <w:sdtContent>
      <w:sdt>
        <w:sdtPr>
          <w:id w:val="1728636285"/>
          <w:docPartObj>
            <w:docPartGallery w:val="autotext"/>
          </w:docPartObj>
        </w:sdtPr>
        <w:sdtContent>
          <w:p>
            <w:pPr>
              <w:pStyle w:val="9"/>
              <w:ind w:firstLine="360"/>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9"/>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ind w:firstLine="360"/>
                            <w:rPr>
                              <w:sz w:val="18"/>
                            </w:rPr>
                          </w:pPr>
                          <w:r>
                            <w:rPr>
                              <w:sz w:val="18"/>
                            </w:rPr>
                            <w:fldChar w:fldCharType="begin"/>
                          </w:r>
                          <w:r>
                            <w:rPr>
                              <w:sz w:val="18"/>
                            </w:rPr>
                            <w:instrText xml:space="preserve"> PAGE  \* MERGEFORMAT </w:instrText>
                          </w:r>
                          <w:r>
                            <w:rPr>
                              <w:sz w:val="18"/>
                            </w:rPr>
                            <w:fldChar w:fldCharType="separate"/>
                          </w:r>
                          <w:r>
                            <w:rPr>
                              <w:sz w:val="18"/>
                            </w:rPr>
                            <w:t>- 7 -</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snapToGrid w:val="0"/>
                      <w:ind w:firstLine="360"/>
                      <w:rPr>
                        <w:sz w:val="18"/>
                      </w:rPr>
                    </w:pPr>
                    <w:r>
                      <w:rPr>
                        <w:sz w:val="18"/>
                      </w:rPr>
                      <w:fldChar w:fldCharType="begin"/>
                    </w:r>
                    <w:r>
                      <w:rPr>
                        <w:sz w:val="18"/>
                      </w:rPr>
                      <w:instrText xml:space="preserve"> PAGE  \* MERGEFORMAT </w:instrText>
                    </w:r>
                    <w:r>
                      <w:rPr>
                        <w:sz w:val="18"/>
                      </w:rPr>
                      <w:fldChar w:fldCharType="separate"/>
                    </w:r>
                    <w:r>
                      <w:rPr>
                        <w:sz w:val="18"/>
                      </w:rPr>
                      <w:t>- 7 -</w:t>
                    </w:r>
                    <w:r>
                      <w:rPr>
                        <w:sz w:val="18"/>
                      </w:rPr>
                      <w:fldChar w:fldCharType="end"/>
                    </w:r>
                  </w:p>
                </w:txbxContent>
              </v:textbox>
            </v:shape>
          </w:pict>
        </mc:Fallback>
      </mc:AlternateContent>
    </w:r>
  </w:p>
  <w:p>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240" w:lineRule="auto"/>
        <w:ind w:firstLine="640"/>
      </w:pPr>
      <w:r>
        <w:separator/>
      </w:r>
    </w:p>
  </w:footnote>
  <w:footnote w:type="continuationSeparator" w:id="3">
    <w:p>
      <w:pPr>
        <w:spacing w:line="240" w:lineRule="auto"/>
        <w:ind w:firstLine="640"/>
      </w:pPr>
      <w:r>
        <w:continuationSeparator/>
      </w:r>
    </w:p>
  </w:footnote>
  <w:footnote w:id="0">
    <w:p>
      <w:pPr>
        <w:pStyle w:val="11"/>
        <w:spacing w:line="240" w:lineRule="auto"/>
        <w:ind w:firstLine="0" w:firstLineChars="0"/>
        <w:rPr>
          <w:szCs w:val="18"/>
        </w:rPr>
      </w:pPr>
      <w:r>
        <w:rPr>
          <w:rStyle w:val="16"/>
          <w:rFonts w:hint="eastAsia"/>
          <w:szCs w:val="18"/>
        </w:rPr>
        <w:footnoteRef/>
      </w:r>
      <w:r>
        <w:rPr>
          <w:rFonts w:hint="eastAsia"/>
          <w:szCs w:val="18"/>
        </w:rPr>
        <w:t xml:space="preserve"> 绩效评价结果采取评分和评级相结合的方式，具体分值和等级可根据</w:t>
      </w:r>
      <w:r>
        <w:rPr>
          <w:rFonts w:hint="eastAsia"/>
          <w:bCs/>
          <w:szCs w:val="18"/>
        </w:rPr>
        <w:t>不同评价内容设定。总分一般设置为100分，等级一般划分为四档：</w:t>
      </w:r>
      <w:r>
        <w:rPr>
          <w:rFonts w:hint="eastAsia"/>
          <w:szCs w:val="18"/>
        </w:rPr>
        <w:t>90（含）-100分为优、80（含）-90分为良、60（含）-80分为中、60分以下为差。</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2EC146"/>
    <w:multiLevelType w:val="multilevel"/>
    <w:tmpl w:val="622EC146"/>
    <w:lvl w:ilvl="0" w:tentative="0">
      <w:start w:val="1"/>
      <w:numFmt w:val="chineseCountingThousand"/>
      <w:pStyle w:val="3"/>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6230A78E"/>
    <w:multiLevelType w:val="multilevel"/>
    <w:tmpl w:val="6230A78E"/>
    <w:lvl w:ilvl="0" w:tentative="0">
      <w:start w:val="1"/>
      <w:numFmt w:val="decimal"/>
      <w:pStyle w:val="4"/>
      <w:lvlText w:val="%1."/>
      <w:lvlJc w:val="left"/>
      <w:pPr>
        <w:ind w:left="2406" w:hanging="420"/>
      </w:pPr>
    </w:lvl>
    <w:lvl w:ilvl="1" w:tentative="0">
      <w:start w:val="1"/>
      <w:numFmt w:val="lowerLetter"/>
      <w:lvlText w:val="%2)"/>
      <w:lvlJc w:val="left"/>
      <w:pPr>
        <w:ind w:left="2826" w:hanging="420"/>
      </w:pPr>
    </w:lvl>
    <w:lvl w:ilvl="2" w:tentative="0">
      <w:start w:val="1"/>
      <w:numFmt w:val="lowerRoman"/>
      <w:lvlText w:val="%3."/>
      <w:lvlJc w:val="right"/>
      <w:pPr>
        <w:ind w:left="3246" w:hanging="420"/>
      </w:pPr>
    </w:lvl>
    <w:lvl w:ilvl="3" w:tentative="0">
      <w:start w:val="1"/>
      <w:numFmt w:val="decimal"/>
      <w:lvlText w:val="%4."/>
      <w:lvlJc w:val="left"/>
      <w:pPr>
        <w:ind w:left="3666" w:hanging="420"/>
      </w:pPr>
    </w:lvl>
    <w:lvl w:ilvl="4" w:tentative="0">
      <w:start w:val="1"/>
      <w:numFmt w:val="lowerLetter"/>
      <w:lvlText w:val="%5)"/>
      <w:lvlJc w:val="left"/>
      <w:pPr>
        <w:ind w:left="4086" w:hanging="420"/>
      </w:pPr>
    </w:lvl>
    <w:lvl w:ilvl="5" w:tentative="0">
      <w:start w:val="1"/>
      <w:numFmt w:val="lowerRoman"/>
      <w:lvlText w:val="%6."/>
      <w:lvlJc w:val="right"/>
      <w:pPr>
        <w:ind w:left="4506" w:hanging="420"/>
      </w:pPr>
    </w:lvl>
    <w:lvl w:ilvl="6" w:tentative="0">
      <w:start w:val="1"/>
      <w:numFmt w:val="decimal"/>
      <w:lvlText w:val="%7."/>
      <w:lvlJc w:val="left"/>
      <w:pPr>
        <w:ind w:left="4926" w:hanging="420"/>
      </w:pPr>
    </w:lvl>
    <w:lvl w:ilvl="7" w:tentative="0">
      <w:start w:val="1"/>
      <w:numFmt w:val="lowerLetter"/>
      <w:lvlText w:val="%8)"/>
      <w:lvlJc w:val="left"/>
      <w:pPr>
        <w:ind w:left="5346" w:hanging="420"/>
      </w:pPr>
    </w:lvl>
    <w:lvl w:ilvl="8" w:tentative="0">
      <w:start w:val="1"/>
      <w:numFmt w:val="lowerRoman"/>
      <w:lvlText w:val="%9."/>
      <w:lvlJc w:val="right"/>
      <w:pPr>
        <w:ind w:left="5766"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bordersDoNotSurroundHeader w:val="1"/>
  <w:bordersDoNotSurroundFooter w:val="1"/>
  <w:documentProtection w:enforcement="0"/>
  <w:defaultTabStop w:val="420"/>
  <w:drawingGridHorizontalSpacing w:val="105"/>
  <w:drawingGridVerticalSpacing w:val="156"/>
  <w:noPunctuationKerning w:val="1"/>
  <w:characterSpacingControl w:val="compressPunctuation"/>
  <w:footnotePr>
    <w:footnote w:id="2"/>
    <w:footnote w:id="3"/>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yOTRiNGU3NmViOTc4MDVjYzFmZWUwMTFiYjU1ZTYifQ=="/>
  </w:docVars>
  <w:rsids>
    <w:rsidRoot w:val="007C6A8D"/>
    <w:rsid w:val="00015287"/>
    <w:rsid w:val="00072FB0"/>
    <w:rsid w:val="000757DF"/>
    <w:rsid w:val="000C05A9"/>
    <w:rsid w:val="000C1693"/>
    <w:rsid w:val="000C7F39"/>
    <w:rsid w:val="000D5ECC"/>
    <w:rsid w:val="00156F7B"/>
    <w:rsid w:val="00186083"/>
    <w:rsid w:val="00191A40"/>
    <w:rsid w:val="001A4FCA"/>
    <w:rsid w:val="001E1A5E"/>
    <w:rsid w:val="001E65D8"/>
    <w:rsid w:val="001E702E"/>
    <w:rsid w:val="001F5AA4"/>
    <w:rsid w:val="00214AA5"/>
    <w:rsid w:val="00235966"/>
    <w:rsid w:val="00257C29"/>
    <w:rsid w:val="002A7700"/>
    <w:rsid w:val="002E0FBC"/>
    <w:rsid w:val="00307943"/>
    <w:rsid w:val="00323B8D"/>
    <w:rsid w:val="00342C2F"/>
    <w:rsid w:val="0035757F"/>
    <w:rsid w:val="003577C2"/>
    <w:rsid w:val="00382649"/>
    <w:rsid w:val="00394B68"/>
    <w:rsid w:val="003B1900"/>
    <w:rsid w:val="003D5362"/>
    <w:rsid w:val="003E0EE9"/>
    <w:rsid w:val="003F3BCB"/>
    <w:rsid w:val="003F5A40"/>
    <w:rsid w:val="00425008"/>
    <w:rsid w:val="00447BDD"/>
    <w:rsid w:val="00497626"/>
    <w:rsid w:val="004A3245"/>
    <w:rsid w:val="004B47F6"/>
    <w:rsid w:val="00502CEF"/>
    <w:rsid w:val="00532CDF"/>
    <w:rsid w:val="005530FC"/>
    <w:rsid w:val="00567EEA"/>
    <w:rsid w:val="0058296F"/>
    <w:rsid w:val="0058344B"/>
    <w:rsid w:val="005A7B7C"/>
    <w:rsid w:val="005C793D"/>
    <w:rsid w:val="005D6FD8"/>
    <w:rsid w:val="006206DE"/>
    <w:rsid w:val="00652BEE"/>
    <w:rsid w:val="006668F7"/>
    <w:rsid w:val="00670E00"/>
    <w:rsid w:val="00680AE2"/>
    <w:rsid w:val="00695502"/>
    <w:rsid w:val="006A08E5"/>
    <w:rsid w:val="006A0B18"/>
    <w:rsid w:val="006E2C6E"/>
    <w:rsid w:val="006F0724"/>
    <w:rsid w:val="006F094E"/>
    <w:rsid w:val="00704D3D"/>
    <w:rsid w:val="00742FA0"/>
    <w:rsid w:val="007B1093"/>
    <w:rsid w:val="007C6A8D"/>
    <w:rsid w:val="007C77C0"/>
    <w:rsid w:val="007E03B1"/>
    <w:rsid w:val="007E16C0"/>
    <w:rsid w:val="007F11FC"/>
    <w:rsid w:val="008041EB"/>
    <w:rsid w:val="0085384E"/>
    <w:rsid w:val="00866D4F"/>
    <w:rsid w:val="00886EBB"/>
    <w:rsid w:val="008C01DD"/>
    <w:rsid w:val="008C5E9F"/>
    <w:rsid w:val="008D3C34"/>
    <w:rsid w:val="00907B9F"/>
    <w:rsid w:val="009254A3"/>
    <w:rsid w:val="009374E9"/>
    <w:rsid w:val="0094704A"/>
    <w:rsid w:val="009803FA"/>
    <w:rsid w:val="00985320"/>
    <w:rsid w:val="00986C5E"/>
    <w:rsid w:val="009B66D2"/>
    <w:rsid w:val="009B6BB4"/>
    <w:rsid w:val="00A1720B"/>
    <w:rsid w:val="00A327AA"/>
    <w:rsid w:val="00A63163"/>
    <w:rsid w:val="00A92DF2"/>
    <w:rsid w:val="00AA5338"/>
    <w:rsid w:val="00AC140F"/>
    <w:rsid w:val="00AD4C3B"/>
    <w:rsid w:val="00AD7537"/>
    <w:rsid w:val="00AF093E"/>
    <w:rsid w:val="00B012E2"/>
    <w:rsid w:val="00B16374"/>
    <w:rsid w:val="00B45E78"/>
    <w:rsid w:val="00B9050E"/>
    <w:rsid w:val="00BB7A05"/>
    <w:rsid w:val="00BD192D"/>
    <w:rsid w:val="00BE2E1F"/>
    <w:rsid w:val="00C2157C"/>
    <w:rsid w:val="00C409C6"/>
    <w:rsid w:val="00C702B8"/>
    <w:rsid w:val="00C71558"/>
    <w:rsid w:val="00CB6C81"/>
    <w:rsid w:val="00CB7FE9"/>
    <w:rsid w:val="00CC0E1B"/>
    <w:rsid w:val="00CC7C71"/>
    <w:rsid w:val="00CD69A4"/>
    <w:rsid w:val="00CE0B57"/>
    <w:rsid w:val="00D32942"/>
    <w:rsid w:val="00D50E3A"/>
    <w:rsid w:val="00D86FE6"/>
    <w:rsid w:val="00DB720C"/>
    <w:rsid w:val="00DC002F"/>
    <w:rsid w:val="00DD1293"/>
    <w:rsid w:val="00E61598"/>
    <w:rsid w:val="00E975EF"/>
    <w:rsid w:val="00ED3FAF"/>
    <w:rsid w:val="00ED590D"/>
    <w:rsid w:val="00F05CC5"/>
    <w:rsid w:val="00F60BD7"/>
    <w:rsid w:val="00F85BCF"/>
    <w:rsid w:val="00F97F0C"/>
    <w:rsid w:val="00FA665A"/>
    <w:rsid w:val="00FC6484"/>
    <w:rsid w:val="025E172F"/>
    <w:rsid w:val="025E44C8"/>
    <w:rsid w:val="04F574FF"/>
    <w:rsid w:val="070C2530"/>
    <w:rsid w:val="09C83FDD"/>
    <w:rsid w:val="0EEDF025"/>
    <w:rsid w:val="0F6E45C7"/>
    <w:rsid w:val="0F7953AB"/>
    <w:rsid w:val="0FAE4E23"/>
    <w:rsid w:val="12FE566B"/>
    <w:rsid w:val="134A3128"/>
    <w:rsid w:val="156902B8"/>
    <w:rsid w:val="177B5642"/>
    <w:rsid w:val="188C284E"/>
    <w:rsid w:val="18E65685"/>
    <w:rsid w:val="19107413"/>
    <w:rsid w:val="19AACB35"/>
    <w:rsid w:val="1BDFD8B8"/>
    <w:rsid w:val="1BE88316"/>
    <w:rsid w:val="1C3A5E48"/>
    <w:rsid w:val="1CB8475E"/>
    <w:rsid w:val="1D554B87"/>
    <w:rsid w:val="1F6F5FFD"/>
    <w:rsid w:val="1FB74B52"/>
    <w:rsid w:val="2303614B"/>
    <w:rsid w:val="250F6B0E"/>
    <w:rsid w:val="299802D6"/>
    <w:rsid w:val="29AF7E64"/>
    <w:rsid w:val="2D382E3C"/>
    <w:rsid w:val="2F3F2328"/>
    <w:rsid w:val="2FBFD78C"/>
    <w:rsid w:val="2FF6BCDC"/>
    <w:rsid w:val="2FFE2FA1"/>
    <w:rsid w:val="303D3CA9"/>
    <w:rsid w:val="31897D10"/>
    <w:rsid w:val="34A55A98"/>
    <w:rsid w:val="3589141A"/>
    <w:rsid w:val="361909F0"/>
    <w:rsid w:val="36F25952"/>
    <w:rsid w:val="37200870"/>
    <w:rsid w:val="37EF1830"/>
    <w:rsid w:val="38C27C00"/>
    <w:rsid w:val="392F4F90"/>
    <w:rsid w:val="399B0A74"/>
    <w:rsid w:val="3B0C0B24"/>
    <w:rsid w:val="3BFDAF46"/>
    <w:rsid w:val="3D270F5B"/>
    <w:rsid w:val="3DFBE8AF"/>
    <w:rsid w:val="3EBA4958"/>
    <w:rsid w:val="3EC22495"/>
    <w:rsid w:val="3FFB96A1"/>
    <w:rsid w:val="44AD6ED3"/>
    <w:rsid w:val="4A8007DC"/>
    <w:rsid w:val="4FDFAD4E"/>
    <w:rsid w:val="51DF7EBB"/>
    <w:rsid w:val="567BBFF4"/>
    <w:rsid w:val="56A143BE"/>
    <w:rsid w:val="577FEE94"/>
    <w:rsid w:val="57815FE2"/>
    <w:rsid w:val="57F7BF9A"/>
    <w:rsid w:val="58885C16"/>
    <w:rsid w:val="58EFDE14"/>
    <w:rsid w:val="5944307B"/>
    <w:rsid w:val="5C9B1A71"/>
    <w:rsid w:val="5C9B7CEB"/>
    <w:rsid w:val="5D6DDA90"/>
    <w:rsid w:val="5DC758C5"/>
    <w:rsid w:val="5DDFE2C1"/>
    <w:rsid w:val="5ECF66FB"/>
    <w:rsid w:val="5FADF104"/>
    <w:rsid w:val="5FAFE5F4"/>
    <w:rsid w:val="5FF8A830"/>
    <w:rsid w:val="618C46F3"/>
    <w:rsid w:val="63665421"/>
    <w:rsid w:val="66420C45"/>
    <w:rsid w:val="67B78A2B"/>
    <w:rsid w:val="6A7FC890"/>
    <w:rsid w:val="6BFE96C5"/>
    <w:rsid w:val="6DDC525C"/>
    <w:rsid w:val="6EB34543"/>
    <w:rsid w:val="6FDFDBE6"/>
    <w:rsid w:val="6FEF871B"/>
    <w:rsid w:val="6FF6249B"/>
    <w:rsid w:val="6FFF5C53"/>
    <w:rsid w:val="716B46E4"/>
    <w:rsid w:val="718AB51F"/>
    <w:rsid w:val="71FE5630"/>
    <w:rsid w:val="72483982"/>
    <w:rsid w:val="73FEBE05"/>
    <w:rsid w:val="749776B4"/>
    <w:rsid w:val="76E77A21"/>
    <w:rsid w:val="7798281C"/>
    <w:rsid w:val="77E95C27"/>
    <w:rsid w:val="77FE383E"/>
    <w:rsid w:val="79DF01D1"/>
    <w:rsid w:val="7B8F8113"/>
    <w:rsid w:val="7C3A1D36"/>
    <w:rsid w:val="7CFF7956"/>
    <w:rsid w:val="7D9D87F6"/>
    <w:rsid w:val="7DAF5DE1"/>
    <w:rsid w:val="7DFE55F9"/>
    <w:rsid w:val="7E72638B"/>
    <w:rsid w:val="7E7F8C13"/>
    <w:rsid w:val="7EE7FF9B"/>
    <w:rsid w:val="7EFA828E"/>
    <w:rsid w:val="7F574353"/>
    <w:rsid w:val="7F5A2C35"/>
    <w:rsid w:val="7F7D9F16"/>
    <w:rsid w:val="7FB51845"/>
    <w:rsid w:val="7FB95F33"/>
    <w:rsid w:val="7FBE0B65"/>
    <w:rsid w:val="7FC2440B"/>
    <w:rsid w:val="7FCD0E3B"/>
    <w:rsid w:val="7FD50DE1"/>
    <w:rsid w:val="7FD9170B"/>
    <w:rsid w:val="7FED1DD4"/>
    <w:rsid w:val="7FF789B3"/>
    <w:rsid w:val="7FFDB220"/>
    <w:rsid w:val="7FFF7DE1"/>
    <w:rsid w:val="7FFF8CF9"/>
    <w:rsid w:val="9EEB6975"/>
    <w:rsid w:val="A7AB2093"/>
    <w:rsid w:val="A7FEFFEB"/>
    <w:rsid w:val="A9DC8A0E"/>
    <w:rsid w:val="AF6F4617"/>
    <w:rsid w:val="B723A7EC"/>
    <w:rsid w:val="BAB6814B"/>
    <w:rsid w:val="BCFF4A44"/>
    <w:rsid w:val="BD0DFBF5"/>
    <w:rsid w:val="BD765DAF"/>
    <w:rsid w:val="BF731425"/>
    <w:rsid w:val="BF7ECBC0"/>
    <w:rsid w:val="BF7FB0B2"/>
    <w:rsid w:val="BFB9A497"/>
    <w:rsid w:val="BFFBDFEE"/>
    <w:rsid w:val="BFFDF0DE"/>
    <w:rsid w:val="CD6B17D8"/>
    <w:rsid w:val="CF6DA1D5"/>
    <w:rsid w:val="D37778F4"/>
    <w:rsid w:val="D3FF8887"/>
    <w:rsid w:val="D6DBC1E1"/>
    <w:rsid w:val="D76DA45F"/>
    <w:rsid w:val="D7D7A656"/>
    <w:rsid w:val="D7FDBA96"/>
    <w:rsid w:val="DB7F7CF4"/>
    <w:rsid w:val="DBF429D5"/>
    <w:rsid w:val="DE5CA4C2"/>
    <w:rsid w:val="DFFF88E2"/>
    <w:rsid w:val="E7BF0EDC"/>
    <w:rsid w:val="EAC76DA6"/>
    <w:rsid w:val="EB665644"/>
    <w:rsid w:val="EDFF3D9C"/>
    <w:rsid w:val="EE7182E5"/>
    <w:rsid w:val="EFD9484C"/>
    <w:rsid w:val="EFF8416B"/>
    <w:rsid w:val="F2FAE844"/>
    <w:rsid w:val="F57F79EA"/>
    <w:rsid w:val="F5FB1330"/>
    <w:rsid w:val="F67FFE7C"/>
    <w:rsid w:val="F7FCCB23"/>
    <w:rsid w:val="F7FF7322"/>
    <w:rsid w:val="FB3D0D08"/>
    <w:rsid w:val="FBDA8C15"/>
    <w:rsid w:val="FBE31E8C"/>
    <w:rsid w:val="FBE7B6D2"/>
    <w:rsid w:val="FBFF46AC"/>
    <w:rsid w:val="FBFFAD64"/>
    <w:rsid w:val="FBFFCDF2"/>
    <w:rsid w:val="FC9FA928"/>
    <w:rsid w:val="FD7F5BC9"/>
    <w:rsid w:val="FDD4F4C8"/>
    <w:rsid w:val="FDFA4F0D"/>
    <w:rsid w:val="FDFE7577"/>
    <w:rsid w:val="FE7BE63A"/>
    <w:rsid w:val="FE7C2981"/>
    <w:rsid w:val="FE7E546D"/>
    <w:rsid w:val="FEBD4646"/>
    <w:rsid w:val="FEF31746"/>
    <w:rsid w:val="FEF34A6A"/>
    <w:rsid w:val="FEF5BFFD"/>
    <w:rsid w:val="FF5F9432"/>
    <w:rsid w:val="FFEF89B7"/>
    <w:rsid w:val="FFF0242E"/>
    <w:rsid w:val="FFF5E87F"/>
    <w:rsid w:val="FFF9ED00"/>
    <w:rsid w:val="FFFA4023"/>
    <w:rsid w:val="FFFB7DA1"/>
    <w:rsid w:val="FFFFE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ind w:firstLine="640" w:firstLineChars="200"/>
      <w:jc w:val="both"/>
    </w:pPr>
    <w:rPr>
      <w:rFonts w:ascii="仿宋_GB2312" w:hAnsi="仿宋_GB2312" w:eastAsia="仿宋_GB2312" w:cs="仿宋_GB2312"/>
      <w:kern w:val="2"/>
      <w:sz w:val="32"/>
      <w:szCs w:val="32"/>
      <w:lang w:val="en-US" w:eastAsia="zh-CN" w:bidi="ar-SA"/>
    </w:rPr>
  </w:style>
  <w:style w:type="paragraph" w:styleId="3">
    <w:name w:val="heading 1"/>
    <w:next w:val="1"/>
    <w:qFormat/>
    <w:uiPriority w:val="9"/>
    <w:pPr>
      <w:numPr>
        <w:ilvl w:val="0"/>
        <w:numId w:val="1"/>
      </w:numPr>
      <w:spacing w:line="580" w:lineRule="exact"/>
      <w:ind w:left="0" w:firstLine="640" w:firstLineChars="200"/>
      <w:outlineLvl w:val="0"/>
    </w:pPr>
    <w:rPr>
      <w:rFonts w:ascii="黑体" w:hAnsi="黑体" w:eastAsia="黑体" w:cs="Times New Roman"/>
      <w:bCs/>
      <w:sz w:val="32"/>
      <w:szCs w:val="36"/>
      <w:lang w:val="en-US" w:eastAsia="zh-CN" w:bidi="ar-SA"/>
    </w:rPr>
  </w:style>
  <w:style w:type="paragraph" w:styleId="2">
    <w:name w:val="heading 2"/>
    <w:basedOn w:val="1"/>
    <w:next w:val="1"/>
    <w:unhideWhenUsed/>
    <w:qFormat/>
    <w:uiPriority w:val="9"/>
    <w:pPr>
      <w:keepNext/>
      <w:keepLines/>
      <w:adjustRightInd w:val="0"/>
      <w:snapToGrid w:val="0"/>
      <w:ind w:firstLine="1134"/>
      <w:outlineLvl w:val="1"/>
    </w:pPr>
    <w:rPr>
      <w:rFonts w:ascii="楷体_GB2312" w:hAnsi="楷体_GB2312" w:eastAsia="楷体_GB2312" w:cs="楷体_GB2312"/>
    </w:rPr>
  </w:style>
  <w:style w:type="paragraph" w:styleId="4">
    <w:name w:val="heading 3"/>
    <w:basedOn w:val="1"/>
    <w:next w:val="1"/>
    <w:unhideWhenUsed/>
    <w:qFormat/>
    <w:uiPriority w:val="9"/>
    <w:pPr>
      <w:keepNext/>
      <w:keepLines/>
      <w:numPr>
        <w:ilvl w:val="0"/>
        <w:numId w:val="2"/>
      </w:numPr>
      <w:ind w:left="0" w:firstLine="640"/>
      <w:outlineLvl w:val="2"/>
    </w:pPr>
    <w:rPr>
      <w:b/>
      <w:bCs/>
    </w:rPr>
  </w:style>
  <w:style w:type="paragraph" w:styleId="5">
    <w:name w:val="heading 4"/>
    <w:next w:val="1"/>
    <w:unhideWhenUsed/>
    <w:qFormat/>
    <w:uiPriority w:val="9"/>
    <w:pPr>
      <w:keepNext/>
      <w:keepLines/>
      <w:spacing w:line="580" w:lineRule="exact"/>
      <w:ind w:firstLine="640" w:firstLineChars="200"/>
      <w:outlineLvl w:val="3"/>
    </w:pPr>
    <w:rPr>
      <w:rFonts w:ascii="仿宋_GB2312" w:hAnsi="仿宋_GB2312" w:eastAsia="仿宋_GB2312" w:cs="仿宋_GB2312"/>
      <w:sz w:val="32"/>
      <w:szCs w:val="32"/>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unhideWhenUsed/>
    <w:qFormat/>
    <w:uiPriority w:val="99"/>
  </w:style>
  <w:style w:type="paragraph" w:styleId="7">
    <w:name w:val="Body Text"/>
    <w:basedOn w:val="1"/>
    <w:next w:val="1"/>
    <w:unhideWhenUsed/>
    <w:qFormat/>
    <w:uiPriority w:val="99"/>
    <w:rPr>
      <w:b/>
      <w:bCs/>
      <w:sz w:val="24"/>
    </w:rPr>
  </w:style>
  <w:style w:type="paragraph" w:styleId="8">
    <w:name w:val="Balloon Text"/>
    <w:basedOn w:val="1"/>
    <w:link w:val="17"/>
    <w:unhideWhenUsed/>
    <w:qFormat/>
    <w:uiPriority w:val="99"/>
    <w:rPr>
      <w:sz w:val="18"/>
      <w:szCs w:val="18"/>
    </w:rPr>
  </w:style>
  <w:style w:type="paragraph" w:styleId="9">
    <w:name w:val="footer"/>
    <w:basedOn w:val="1"/>
    <w:link w:val="19"/>
    <w:unhideWhenUsed/>
    <w:qFormat/>
    <w:uiPriority w:val="99"/>
    <w:pPr>
      <w:tabs>
        <w:tab w:val="center" w:pos="4153"/>
        <w:tab w:val="right" w:pos="8306"/>
      </w:tabs>
      <w:snapToGrid w:val="0"/>
      <w:jc w:val="left"/>
    </w:pPr>
    <w:rPr>
      <w:sz w:val="18"/>
      <w:szCs w:val="18"/>
    </w:rPr>
  </w:style>
  <w:style w:type="paragraph" w:styleId="10">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footnote text"/>
    <w:basedOn w:val="1"/>
    <w:unhideWhenUsed/>
    <w:qFormat/>
    <w:uiPriority w:val="99"/>
    <w:pPr>
      <w:snapToGrid w:val="0"/>
      <w:jc w:val="left"/>
    </w:pPr>
    <w:rPr>
      <w:sz w:val="18"/>
    </w:rPr>
  </w:style>
  <w:style w:type="table" w:styleId="13">
    <w:name w:val="Table Grid"/>
    <w:basedOn w:val="1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character" w:styleId="16">
    <w:name w:val="footnote reference"/>
    <w:basedOn w:val="14"/>
    <w:unhideWhenUsed/>
    <w:qFormat/>
    <w:uiPriority w:val="99"/>
    <w:rPr>
      <w:vertAlign w:val="superscript"/>
    </w:rPr>
  </w:style>
  <w:style w:type="character" w:customStyle="1" w:styleId="17">
    <w:name w:val="批注框文本 字符"/>
    <w:basedOn w:val="14"/>
    <w:link w:val="8"/>
    <w:semiHidden/>
    <w:qFormat/>
    <w:uiPriority w:val="99"/>
    <w:rPr>
      <w:rFonts w:ascii="Times New Roman" w:hAnsi="Times New Roman" w:eastAsia="宋体" w:cs="Times New Roman"/>
      <w:sz w:val="18"/>
      <w:szCs w:val="18"/>
    </w:rPr>
  </w:style>
  <w:style w:type="character" w:customStyle="1" w:styleId="18">
    <w:name w:val="页眉 字符"/>
    <w:basedOn w:val="14"/>
    <w:link w:val="10"/>
    <w:semiHidden/>
    <w:qFormat/>
    <w:uiPriority w:val="99"/>
    <w:rPr>
      <w:rFonts w:ascii="Times New Roman" w:hAnsi="Times New Roman" w:eastAsia="宋体" w:cs="Times New Roman"/>
      <w:sz w:val="18"/>
      <w:szCs w:val="18"/>
    </w:rPr>
  </w:style>
  <w:style w:type="character" w:customStyle="1" w:styleId="19">
    <w:name w:val="页脚 字符"/>
    <w:basedOn w:val="14"/>
    <w:link w:val="9"/>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2453</Words>
  <Characters>13984</Characters>
  <Lines>116</Lines>
  <Paragraphs>32</Paragraphs>
  <TotalTime>210</TotalTime>
  <ScaleCrop>false</ScaleCrop>
  <LinksUpToDate>false</LinksUpToDate>
  <CharactersWithSpaces>16405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2019-03-10T03:34:00Z</dcterms:created>
  <dc:creator>桂鑫</dc:creator>
  <cp:lastModifiedBy>jaqcueline</cp:lastModifiedBy>
  <dcterms:modified xsi:type="dcterms:W3CDTF">2023-11-21T08:33:37Z</dcterms:modified>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959E7B9124934FB5BC7E5D144331D07D_13</vt:lpwstr>
  </property>
</Properties>
</file>